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C61A8" w14:textId="77777777" w:rsidR="00200EC0" w:rsidRDefault="00200EC0" w:rsidP="00200EC0">
      <w:pPr>
        <w:overflowPunct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36"/>
          <w:szCs w:val="36"/>
          <w:lang w:eastAsia="en-US"/>
        </w:rPr>
      </w:pPr>
      <w:bookmarkStart w:id="0" w:name="_GoBack"/>
      <w:bookmarkEnd w:id="0"/>
      <w:r w:rsidRPr="00200EC0">
        <w:rPr>
          <w:rFonts w:ascii="Arial-BoldMT" w:eastAsiaTheme="minorHAnsi" w:hAnsi="Arial-BoldMT" w:cs="Arial-BoldMT"/>
          <w:b/>
          <w:bCs/>
          <w:color w:val="2F5496" w:themeColor="accent5" w:themeShade="BF"/>
          <w:sz w:val="36"/>
          <w:szCs w:val="36"/>
          <w:lang w:eastAsia="en-US"/>
        </w:rPr>
        <w:t xml:space="preserve">61. mateřská škola Plzeň, Nade Mží 3, </w:t>
      </w:r>
    </w:p>
    <w:p w14:paraId="0FC462F3" w14:textId="02E0F8F6" w:rsidR="00200EC0" w:rsidRDefault="00200EC0" w:rsidP="00200EC0">
      <w:pPr>
        <w:overflowPunct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36"/>
          <w:szCs w:val="36"/>
          <w:lang w:eastAsia="en-US"/>
        </w:rPr>
      </w:pPr>
      <w:r w:rsidRPr="00200EC0">
        <w:rPr>
          <w:rFonts w:ascii="Arial-BoldMT" w:eastAsiaTheme="minorHAnsi" w:hAnsi="Arial-BoldMT" w:cs="Arial-BoldMT"/>
          <w:b/>
          <w:bCs/>
          <w:color w:val="2F5496" w:themeColor="accent5" w:themeShade="BF"/>
          <w:sz w:val="36"/>
          <w:szCs w:val="36"/>
          <w:lang w:eastAsia="en-US"/>
        </w:rPr>
        <w:t xml:space="preserve">příspěvková organizace </w:t>
      </w:r>
    </w:p>
    <w:p w14:paraId="0BBB9763" w14:textId="77777777" w:rsidR="008D3DBA" w:rsidRPr="00200EC0" w:rsidRDefault="008D3DBA" w:rsidP="00200EC0">
      <w:pPr>
        <w:overflowPunct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36"/>
          <w:szCs w:val="36"/>
          <w:lang w:eastAsia="en-US"/>
        </w:rPr>
      </w:pPr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proofErr w:type="gramStart"/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</w:t>
      </w:r>
      <w:proofErr w:type="gramEnd"/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6AE54CEF" w14:textId="77777777" w:rsidR="008D3DBA" w:rsidRDefault="008D3DBA" w:rsidP="00200EC0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00D38A3" w14:textId="36AB7647" w:rsidR="0082329A" w:rsidRPr="00200EC0" w:rsidRDefault="003B412A" w:rsidP="00200EC0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55248A86" w14:textId="77777777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191CA33" w14:textId="2B07F3E8"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152E7CB4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6EB65C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0662" w14:textId="584CFC51"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4E4B4" w14:textId="77777777" w:rsidR="00D74B90" w:rsidRDefault="00D74B90">
      <w:r>
        <w:separator/>
      </w:r>
    </w:p>
  </w:endnote>
  <w:endnote w:type="continuationSeparator" w:id="0">
    <w:p w14:paraId="5F0D5515" w14:textId="77777777" w:rsidR="00D74B90" w:rsidRDefault="00D7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25DAE" w14:textId="5AFDC9C2" w:rsidR="00606E27" w:rsidRDefault="0087702A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29318" w14:textId="77777777" w:rsidR="00D74B90" w:rsidRDefault="00D74B90">
      <w:r>
        <w:separator/>
      </w:r>
    </w:p>
  </w:footnote>
  <w:footnote w:type="continuationSeparator" w:id="0">
    <w:p w14:paraId="1055B105" w14:textId="77777777" w:rsidR="00D74B90" w:rsidRDefault="00D7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00EC0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7702A"/>
    <w:rsid w:val="00884BB6"/>
    <w:rsid w:val="008B39C7"/>
    <w:rsid w:val="008B5957"/>
    <w:rsid w:val="008C1DB9"/>
    <w:rsid w:val="008C48BC"/>
    <w:rsid w:val="008D10DE"/>
    <w:rsid w:val="008D3DBA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96A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81EA-099D-4CF9-BFEF-A8D9E9311172}">
  <ds:schemaRefs>
    <ds:schemaRef ds:uri="74e7c454-7ab8-4305-8bf3-2428d567af66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7da03f5-ec31-4426-b2a1-400df683c257"/>
  </ds:schemaRefs>
</ds:datastoreItem>
</file>

<file path=customXml/itemProps2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E6D51-ED26-4773-83AE-D49CF7D4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Dagmar Sosnová</cp:lastModifiedBy>
  <cp:revision>2</cp:revision>
  <cp:lastPrinted>2022-01-31T10:32:00Z</cp:lastPrinted>
  <dcterms:created xsi:type="dcterms:W3CDTF">2022-03-31T06:22:00Z</dcterms:created>
  <dcterms:modified xsi:type="dcterms:W3CDTF">2022-03-31T06:22:00Z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