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Open call: Community of Practice 2026!</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 jij jullie creatieve broedplaats verder ontwikkelen en je netwerk verbreden? Heb jij zin om eindelijk je tanden te zetten in een vraagstuk waar je al een tijd mee loopt? En wil jij graag andere broedplaatsen inspireren door jouw ervaringen te delen? Binnen de Community of Practice staat het leren van elkaar centraal, maar blijf je tegelijkertijd eigenaar van je eigen ontwikkeling. Deze Open Call is voor creatieve broedplaatsen die willen deelnemen aan een Community of Practice. </w:t>
      </w:r>
    </w:p>
    <w:p w:rsidR="00000000" w:rsidDel="00000000" w:rsidP="00000000" w:rsidRDefault="00000000" w:rsidRPr="00000000" w14:paraId="00000003">
      <w:pPr>
        <w:pBdr>
          <w:bottom w:color="000000" w:space="1" w:sz="6" w:val="singl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Deadline voor aanmelden: </w:t>
      </w:r>
      <w:r w:rsidDel="00000000" w:rsidR="00000000" w:rsidRPr="00000000">
        <w:rPr>
          <w:rFonts w:ascii="Times New Roman" w:cs="Times New Roman" w:eastAsia="Times New Roman" w:hAnsi="Times New Roman"/>
          <w:rtl w:val="0"/>
        </w:rPr>
        <w:t xml:space="preserve">15 juli 2026</w:t>
        <w:br w:type="textWrapping"/>
      </w:r>
      <w:r w:rsidDel="00000000" w:rsidR="00000000" w:rsidRPr="00000000">
        <w:rPr>
          <w:rFonts w:ascii="Times New Roman" w:cs="Times New Roman" w:eastAsia="Times New Roman" w:hAnsi="Times New Roman"/>
          <w:b w:val="1"/>
          <w:bCs w:val="1"/>
          <w:color w:val="0070c0"/>
          <w:u w:val="single"/>
          <w:shd w:fill="auto" w:val="clear"/>
          <w:rtl w:val="0"/>
        </w:rPr>
        <w:t xml:space="preserve">Aanmeldformulier (laatste pagina)</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Wat is de Community of Practice?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de Communities of Practice werken Creatieve broedplaatsen met een gedeelde interesse betreffende een specifiek onderwerp samen. Vaak gaat het om onderwerpen waar broedplaatsen tegenaan lopen en mee worstelen. Denk aan vragen als: Hoe bereik ik mijn publiek? Hoe komen we binnen onze broedplaats tot een eerlijk samenwerkingsmodel? Waar vinden we financiële middelen? Hoe kunnen we innovatie in onze broedplaats stimuleren? In gezamenlijkheid onderzoeken de broedplaatsen het gekozen onderwerp, analyseren zij de verschillen en overeenkomsten tussen de deelnemende broedplaatsen en genereren zij oplossingen en werkmethoden voor de knelpunten waar de deelnemende broedplaatsen tegenaan lopen. Op deze manier krijgt je als broedplaats ondersteuning maar blijf je wel eigenaar over de eigen ontwikkeling. Binnen de Community of Practice staat het leren van elkaar centraal. Er wordt gewerkt aan het ontwikkelen van een netwerk en het uitwisselen van kennis en best practices speelt een belangrijke rol.</w:t>
      </w:r>
    </w:p>
    <w:p w:rsidR="00000000" w:rsidDel="00000000" w:rsidP="00000000" w:rsidRDefault="00000000" w:rsidRPr="00000000" w14:paraId="0000000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Deelname </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Een Community of Practice bestaat uit drie bijeenkomsten, met daartussen opdrachten ter voorbereiding voor de volgende bijeenkomst. Deelname kost ca. 24 uur.</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Je ontvangt als creatieve broedplaats een bedrag van €1.250 excl. BTW als vergoeding voor de deelname. Het doel van de vergoeding is om het traject mogelijk te maken voor alle creatieve broedplaatsen die mee willen doen, ook die met beperkte uren/budget.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Het programma staat ook open voor Creatieve broedplaatsen uit Twente die geen financiering ontvangen vanuit de regio Twente.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Een broedplaats kan 1 aanvraag per ronde indienen. Een broedplaats neemt met minimaal 1 en met maximaal 2 mensen deel aan het traject. De hoogte van de vergoeding blijft gelijk.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Deelnemers committeren zich aan het traject door alle bijeenkomsten bij te wonen en de noodzakelijke voorbereidingen te treffen. Het niet aanwezig zijn op één van de bijeenkomsten heeft invloed op de hoogte van de vergoeding. Per gemiste bijeenkomst wordt de bijdragen met €300,- excl. BTW verlaagd, ook als deze wordt ingehaald met een inhaalsessie (i.v.m. extra organisatiekosten).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Elke deelnemer neemt deel aan alle drie de sessies (onderling afwisselen is dus niet mogelijk).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Als een broedplaats een sessie niet kan bijwonen, wordt een verplichte inhaalsessie ingepland zodat de leerontwikkeling kan doorlopen. De inhaalsessie moet worden ingepland vóór de eerstvolgende sessie. Als dit niet gebeurt, kan het traject niet worden voortgezet.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Vroegtijdig afgebroken trajecten komen niet in aanmerking voor een vergoeding.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Je neemt deel aan de impactmeting. Deze vul je in tijdens de laatste sessie van de Community of Practice.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De data van de eerste ronde zijn:</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Woensdag 7 oktober van 11:00 tot 14:00</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Dinsdag 3 november van 11:00 tot 14:00</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76" w:lineRule="auto"/>
        <w:ind w:left="144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Woensdag 2 december 2026 van 11:00 tot 14:00</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Aanmelden</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Om je aan te melden, vul je het </w:t>
      </w:r>
      <w:r w:rsidDel="00000000" w:rsidR="00000000" w:rsidRPr="00000000">
        <w:rPr>
          <w:rFonts w:ascii="Times New Roman" w:cs="Times New Roman" w:eastAsia="Times New Roman" w:hAnsi="Times New Roman"/>
          <w:i w:val="0"/>
          <w:iCs w:val="0"/>
          <w:smallCaps w:val="0"/>
          <w:strike w:val="0"/>
          <w:color w:val="0070c0"/>
          <w:sz w:val="24"/>
          <w:szCs w:val="24"/>
          <w:u w:val="single"/>
          <w:shd w:fill="auto" w:val="clear"/>
          <w:vertAlign w:val="baseline"/>
          <w:rtl w:val="0"/>
        </w:rPr>
        <w:t xml:space="preserve">Aanmeldformulier</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in en stuur je deze naar </w:t>
      </w:r>
      <w:hyperlink r:id="rId7">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adedapo@tetem.nl</w:t>
        </w:r>
      </w:hyperlink>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Deadline voor aanmelden is 15 j</w:t>
      </w:r>
      <w:r w:rsidDel="00000000" w:rsidR="00000000" w:rsidRPr="00000000">
        <w:rPr>
          <w:rFonts w:ascii="Times New Roman" w:cs="Times New Roman" w:eastAsia="Times New Roman" w:hAnsi="Times New Roman"/>
          <w:rtl w:val="0"/>
        </w:rPr>
        <w:t xml:space="preserve">ili</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2026. </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Beoordelingscriteria</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Je organisatie past binnen de definitie van een creatieve broedplaats: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000000"/>
          <w:sz w:val="24"/>
          <w:szCs w:val="24"/>
          <w:u w:val="none"/>
          <w:shd w:fill="auto" w:val="clear"/>
          <w:vertAlign w:val="baseline"/>
          <w:rtl w:val="0"/>
        </w:rPr>
        <w:t xml:space="preserve">Een creatieve broedplaats is een verzamelplek waar talentvolle creatieven en ondernemers samenkomen. Waar verbinding wordt gelegd tussen kunst, cultuur en technologie. Waar creativiteit, experiment en innovatie voorop staan. En waar kruisbestuivingen en nieuwe concepten het levenslicht zien.</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Het </w:t>
      </w:r>
      <w:r w:rsidDel="00000000" w:rsidR="00000000" w:rsidRPr="00000000">
        <w:rPr>
          <w:rFonts w:ascii="Times New Roman" w:cs="Times New Roman" w:eastAsia="Times New Roman" w:hAnsi="Times New Roman"/>
          <w:i w:val="0"/>
          <w:iCs w:val="0"/>
          <w:smallCaps w:val="0"/>
          <w:strike w:val="0"/>
          <w:color w:val="0070c0"/>
          <w:sz w:val="24"/>
          <w:szCs w:val="24"/>
          <w:u w:val="single"/>
          <w:shd w:fill="auto" w:val="clear"/>
          <w:vertAlign w:val="baseline"/>
          <w:rtl w:val="0"/>
        </w:rPr>
        <w:t xml:space="preserve">Aanmeldformulier</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is volledig ingevuld (zie laatste pagina). </w:t>
      </w:r>
      <w:r w:rsidDel="00000000" w:rsidR="00000000" w:rsidRPr="00000000">
        <w:rPr>
          <w:rtl w:val="0"/>
        </w:rPr>
      </w:r>
    </w:p>
    <w:p w:rsidR="00000000" w:rsidDel="00000000" w:rsidP="00000000" w:rsidRDefault="00000000" w:rsidRPr="00000000" w14:paraId="0000001B">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Aanmeldingen voor de Community of Practice worden beoordeeld aan de hand van vijf criteria. De beoordelingscriteria zijn te vinden op pagina 4 van dit document. </w:t>
      </w:r>
    </w:p>
    <w:p w:rsidR="00000000" w:rsidDel="00000000" w:rsidP="00000000" w:rsidRDefault="00000000" w:rsidRPr="00000000" w14:paraId="0000001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Selectieprocedure</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sluiten van de deadline worden de ingezonden formulieren beoordeeld door Tetem. Adedapo is als programmamedewerker van de Community of Practice niet betrokken bij de beoordeling. De selectie van de creatieve broedplaatsen vindt plaats aan de hand van de beoordelingscriteria (pagina 4). </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Creatieve broedplaatsen die in deze ronde niet geselecteerd worden, kunnen zich voor de volgende ronde (najaar 2026) opnieuw aanmelden. </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 worden per ronde maximaal 8 broedplaatsen geselecteerd.</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spacing w:after="80" w:before="0" w:lineRule="auto"/>
        <w:rPr>
          <w:rFonts w:ascii="Times New Roman" w:cs="Times New Roman" w:eastAsia="Times New Roman" w:hAnsi="Times New Roman"/>
        </w:rPr>
      </w:pPr>
      <w:bookmarkStart w:colFirst="0" w:colLast="0" w:name="_heading=h.yeq6c7suhk64" w:id="0"/>
      <w:bookmarkEnd w:id="0"/>
      <w:r w:rsidDel="00000000" w:rsidR="00000000" w:rsidRPr="00000000">
        <w:rPr>
          <w:rFonts w:ascii="Times New Roman" w:cs="Times New Roman" w:eastAsia="Times New Roman" w:hAnsi="Times New Roman"/>
          <w:rtl w:val="0"/>
        </w:rPr>
        <w:t xml:space="preserve">Beoordeling van aanmeldingen voor de Community of Practice</w:t>
      </w:r>
    </w:p>
    <w:p w:rsidR="00000000" w:rsidDel="00000000" w:rsidP="00000000" w:rsidRDefault="00000000" w:rsidRPr="00000000" w14:paraId="00000024">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Aanmeldingen voor de Community of Practice worden beoordeeld aan de hand van vijf criteria. Elk criterium heeft een eigen zwaarte in de totale beoordeling.</w:t>
      </w:r>
    </w:p>
    <w:p w:rsidR="00000000" w:rsidDel="00000000" w:rsidP="00000000" w:rsidRDefault="00000000" w:rsidRPr="00000000" w14:paraId="00000025">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Motivatie (30%)</w:t>
      </w:r>
      <w:r w:rsidDel="00000000" w:rsidR="00000000" w:rsidRPr="00000000">
        <w:rPr>
          <w:rFonts w:ascii="Times New Roman" w:cs="Times New Roman" w:eastAsia="Times New Roman" w:hAnsi="Times New Roman"/>
          <w:rtl w:val="0"/>
        </w:rPr>
        <w:br w:type="textWrapping"/>
        <w:t xml:space="preserve">We beoordelen in hoeverre de aanvrager een duidelijke intrinsieke motivatie beschrijft. Daarbij kijken we of er een heldere koppeling wordt gemaakt tussen de leervraag en de ontwikkeling van de organisatie. Ook is van belang dat duidelijk wordt waarom verandering noodzakelijk is en of er sprake is van een gevoelde urgentie.</w:t>
      </w:r>
    </w:p>
    <w:p w:rsidR="00000000" w:rsidDel="00000000" w:rsidP="00000000" w:rsidRDefault="00000000" w:rsidRPr="00000000" w14:paraId="00000026">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Leervraag (30%)</w:t>
      </w:r>
      <w:r w:rsidDel="00000000" w:rsidR="00000000" w:rsidRPr="00000000">
        <w:rPr>
          <w:rFonts w:ascii="Times New Roman" w:cs="Times New Roman" w:eastAsia="Times New Roman" w:hAnsi="Times New Roman"/>
          <w:rtl w:val="0"/>
        </w:rPr>
        <w:br w:type="textWrapping"/>
        <w:t xml:space="preserve">Dit criterium gaat over de inhoud en scherpte van de leervraag. De aanvrager beschrijft wat hij/zij/die wil veranderen en reflecteert op hoe deelname aan de Community of Practice daarbij kan helpen. Daarnaast beoordelen we of de leervraag aansluit bij de ontwikkellijn van de betrokken medewerker(s) en/of de organisatie.</w:t>
      </w:r>
    </w:p>
    <w:p w:rsidR="00000000" w:rsidDel="00000000" w:rsidP="00000000" w:rsidRDefault="00000000" w:rsidRPr="00000000" w14:paraId="00000027">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Geografische spreiding (10%)</w:t>
      </w:r>
      <w:r w:rsidDel="00000000" w:rsidR="00000000" w:rsidRPr="00000000">
        <w:rPr>
          <w:rFonts w:ascii="Times New Roman" w:cs="Times New Roman" w:eastAsia="Times New Roman" w:hAnsi="Times New Roman"/>
          <w:rtl w:val="0"/>
        </w:rPr>
        <w:br w:type="textWrapping"/>
        <w:t xml:space="preserve">We kijken of de aanvrager is gevestigd in een gemeente die binnen de Community of Practice momenteel ondervertegenwoordigd is.</w:t>
      </w:r>
    </w:p>
    <w:p w:rsidR="00000000" w:rsidDel="00000000" w:rsidP="00000000" w:rsidRDefault="00000000" w:rsidRPr="00000000" w14:paraId="00000028">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Diversiteit (10%)</w:t>
      </w:r>
      <w:r w:rsidDel="00000000" w:rsidR="00000000" w:rsidRPr="00000000">
        <w:rPr>
          <w:rFonts w:ascii="Times New Roman" w:cs="Times New Roman" w:eastAsia="Times New Roman" w:hAnsi="Times New Roman"/>
          <w:rtl w:val="0"/>
        </w:rPr>
        <w:br w:type="textWrapping"/>
        <w:t xml:space="preserve">Dit criterium betreft de mate waarin de aanvrager een (tot nu toe) ondervertegenwoordigde discipline, sector of type organisatie vertegenwoordigt binnen de Community of Practice.</w:t>
      </w:r>
    </w:p>
    <w:p w:rsidR="00000000" w:rsidDel="00000000" w:rsidP="00000000" w:rsidRDefault="00000000" w:rsidRPr="00000000" w14:paraId="00000029">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 Herhaalde aanvraag en verwerking van feedback (20%)</w:t>
      </w:r>
      <w:r w:rsidDel="00000000" w:rsidR="00000000" w:rsidRPr="00000000">
        <w:rPr>
          <w:rFonts w:ascii="Times New Roman" w:cs="Times New Roman" w:eastAsia="Times New Roman" w:hAnsi="Times New Roman"/>
          <w:rtl w:val="0"/>
        </w:rPr>
        <w:br w:type="textWrapping"/>
        <w:t xml:space="preserve">Wanneer sprake is van een tweede of derde aanvraag, beoordelen we of de aanvrager aantoonbaar iets heeft gedaan met eerder ontvangen feedback. Herhaalde aanvragen die hierop reflecteren, krijgen binnen dit criterium extra waardering.</w:t>
      </w:r>
    </w:p>
    <w:p w:rsidR="00000000" w:rsidDel="00000000" w:rsidP="00000000" w:rsidRDefault="00000000" w:rsidRPr="00000000" w14:paraId="0000002A">
      <w:pPr>
        <w:spacing w:after="280" w:before="280" w:lineRule="auto"/>
        <w:ind w:left="0" w:firstLine="0"/>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Gelijke scores</w:t>
      </w:r>
    </w:p>
    <w:p w:rsidR="00000000" w:rsidDel="00000000" w:rsidP="00000000" w:rsidRDefault="00000000" w:rsidRPr="00000000" w14:paraId="0000002B">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Wanneer meerdere aanmeldingen in totaal evenveel punten behalen, hanteren we een vaste volgorde om tot een keuze te komen. In dat geval krijgt de aanmelding met de hoogste score op </w:t>
      </w:r>
      <w:r w:rsidDel="00000000" w:rsidR="00000000" w:rsidRPr="00000000">
        <w:rPr>
          <w:rFonts w:ascii="Times New Roman" w:cs="Times New Roman" w:eastAsia="Times New Roman" w:hAnsi="Times New Roman"/>
          <w:b w:val="1"/>
          <w:bCs w:val="1"/>
          <w:rtl w:val="0"/>
        </w:rPr>
        <w:t xml:space="preserve">criterium C (geografische spreiding)</w:t>
      </w:r>
      <w:r w:rsidDel="00000000" w:rsidR="00000000" w:rsidRPr="00000000">
        <w:rPr>
          <w:rFonts w:ascii="Times New Roman" w:cs="Times New Roman" w:eastAsia="Times New Roman" w:hAnsi="Times New Roman"/>
          <w:rtl w:val="0"/>
        </w:rPr>
        <w:t xml:space="preserve"> voorrang. Indien dit geen onderscheid oplevert, wordt achtereenvolgens gekeken naar de scores op </w:t>
      </w:r>
      <w:r w:rsidDel="00000000" w:rsidR="00000000" w:rsidRPr="00000000">
        <w:rPr>
          <w:rFonts w:ascii="Times New Roman" w:cs="Times New Roman" w:eastAsia="Times New Roman" w:hAnsi="Times New Roman"/>
          <w:b w:val="1"/>
          <w:bCs w:val="1"/>
          <w:rtl w:val="0"/>
        </w:rPr>
        <w:t xml:space="preserve">criterium B (leervraag)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criterium D (diversiteit)</w:t>
      </w:r>
      <w:r w:rsidDel="00000000" w:rsidR="00000000" w:rsidRPr="00000000">
        <w:rPr>
          <w:rFonts w:ascii="Times New Roman" w:cs="Times New Roman" w:eastAsia="Times New Roman" w:hAnsi="Times New Roman"/>
          <w:rtl w:val="0"/>
        </w:rPr>
        <w:t xml:space="preserve"> en </w:t>
      </w:r>
      <w:r w:rsidDel="00000000" w:rsidR="00000000" w:rsidRPr="00000000">
        <w:rPr>
          <w:rFonts w:ascii="Times New Roman" w:cs="Times New Roman" w:eastAsia="Times New Roman" w:hAnsi="Times New Roman"/>
          <w:b w:val="1"/>
          <w:bCs w:val="1"/>
          <w:rtl w:val="0"/>
        </w:rPr>
        <w:t xml:space="preserve">criterium A (motivatie)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1"/>
        <w:spacing w:after="80" w:before="0" w:lineRule="auto"/>
        <w:rPr>
          <w:rFonts w:ascii="Times New Roman" w:cs="Times New Roman" w:eastAsia="Times New Roman" w:hAnsi="Times New Roman"/>
        </w:rPr>
      </w:pPr>
      <w:bookmarkStart w:colFirst="0" w:colLast="0" w:name="_heading=h.celqmqqlsb3e" w:id="1"/>
      <w:bookmarkEnd w:id="1"/>
      <w:r w:rsidDel="00000000" w:rsidR="00000000" w:rsidRPr="00000000">
        <w:rPr>
          <w:rFonts w:ascii="Times New Roman" w:cs="Times New Roman" w:eastAsia="Times New Roman" w:hAnsi="Times New Roman"/>
          <w:rtl w:val="0"/>
        </w:rPr>
        <w:t xml:space="preserve">Aanmeldformulier</w:t>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7"/>
        <w:tblGridChange w:id="0">
          <w:tblGrid>
            <w:gridCol w:w="4508"/>
            <w:gridCol w:w="4507"/>
          </w:tblGrid>
        </w:tblGridChange>
      </w:tblGrid>
      <w:tr>
        <w:trPr>
          <w:cantSplit w:val="0"/>
          <w:tblHeader w:val="0"/>
        </w:trPr>
        <w:tc>
          <w:tcPr/>
          <w:p w:rsidR="00000000" w:rsidDel="00000000" w:rsidP="00000000" w:rsidRDefault="00000000" w:rsidRPr="00000000" w14:paraId="0000002E">
            <w:pPr>
              <w:widowControl w:val="1"/>
              <w:spacing w:after="0" w:before="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Naam Creatieve Broedplaats</w:t>
            </w:r>
            <w:r w:rsidDel="00000000" w:rsidR="00000000" w:rsidRPr="00000000">
              <w:rPr>
                <w:rtl w:val="0"/>
              </w:rPr>
            </w:r>
          </w:p>
        </w:tc>
        <w:tc>
          <w:tcPr/>
          <w:p w:rsidR="00000000" w:rsidDel="00000000" w:rsidP="00000000" w:rsidRDefault="00000000" w:rsidRPr="00000000" w14:paraId="0000002F">
            <w:pPr>
              <w:widowControl w:val="1"/>
              <w:spacing w:after="0" w:before="0" w:line="240" w:lineRule="auto"/>
              <w:jc w:val="left"/>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0">
            <w:pPr>
              <w:widowControl w:val="1"/>
              <w:spacing w:after="0" w:before="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Adres Creatieve Broedplaats</w:t>
            </w:r>
            <w:r w:rsidDel="00000000" w:rsidR="00000000" w:rsidRPr="00000000">
              <w:rPr>
                <w:rtl w:val="0"/>
              </w:rPr>
            </w:r>
          </w:p>
        </w:tc>
        <w:tc>
          <w:tcPr/>
          <w:p w:rsidR="00000000" w:rsidDel="00000000" w:rsidP="00000000" w:rsidRDefault="00000000" w:rsidRPr="00000000" w14:paraId="00000031">
            <w:pPr>
              <w:widowControl w:val="1"/>
              <w:spacing w:after="0" w:before="0" w:line="240" w:lineRule="auto"/>
              <w:jc w:val="left"/>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2">
            <w:pPr>
              <w:widowControl w:val="1"/>
              <w:spacing w:after="0" w:before="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Naam/namen personen die zullen deelnemen aan de Community of Practice (max. 2 personen). Dezelfde persoon/personen nemen deel aan álle sessies. </w:t>
            </w:r>
            <w:r w:rsidDel="00000000" w:rsidR="00000000" w:rsidRPr="00000000">
              <w:rPr>
                <w:rtl w:val="0"/>
              </w:rPr>
            </w:r>
          </w:p>
        </w:tc>
        <w:tc>
          <w:tcPr/>
          <w:p w:rsidR="00000000" w:rsidDel="00000000" w:rsidP="00000000" w:rsidRDefault="00000000" w:rsidRPr="00000000" w14:paraId="00000033">
            <w:pPr>
              <w:widowControl w:val="1"/>
              <w:spacing w:after="0" w:before="0" w:line="240" w:lineRule="auto"/>
              <w:jc w:val="left"/>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4">
            <w:pPr>
              <w:widowControl w:val="1"/>
              <w:spacing w:after="0" w:before="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Waarom willen jullie deelnemen aan de Community of Practice?</w:t>
            </w:r>
            <w:r w:rsidDel="00000000" w:rsidR="00000000" w:rsidRPr="00000000">
              <w:rPr>
                <w:rtl w:val="0"/>
              </w:rPr>
            </w:r>
          </w:p>
        </w:tc>
        <w:tc>
          <w:tcPr/>
          <w:p w:rsidR="00000000" w:rsidDel="00000000" w:rsidP="00000000" w:rsidRDefault="00000000" w:rsidRPr="00000000" w14:paraId="00000035">
            <w:pPr>
              <w:widowControl w:val="1"/>
              <w:spacing w:after="0" w:before="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widowControl w:val="1"/>
              <w:spacing w:after="0" w:before="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widowControl w:val="1"/>
              <w:spacing w:after="0" w:before="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widowControl w:val="1"/>
              <w:spacing w:after="0" w:before="0" w:line="240" w:lineRule="auto"/>
              <w:jc w:val="left"/>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9">
            <w:pPr>
              <w:widowControl w:val="1"/>
              <w:spacing w:after="0" w:before="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Wat willen jullie leren? </w:t>
            </w:r>
            <w:r w:rsidDel="00000000" w:rsidR="00000000" w:rsidRPr="00000000">
              <w:rPr>
                <w:rtl w:val="0"/>
              </w:rPr>
            </w:r>
          </w:p>
        </w:tc>
        <w:tc>
          <w:tcPr/>
          <w:p w:rsidR="00000000" w:rsidDel="00000000" w:rsidP="00000000" w:rsidRDefault="00000000" w:rsidRPr="00000000" w14:paraId="0000003A">
            <w:pPr>
              <w:widowControl w:val="1"/>
              <w:spacing w:after="0" w:before="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widowControl w:val="1"/>
              <w:spacing w:after="0" w:before="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widowControl w:val="1"/>
              <w:spacing w:after="0" w:before="0" w:lin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widowControl w:val="1"/>
              <w:spacing w:after="0" w:before="0" w:line="240" w:lineRule="auto"/>
              <w:jc w:val="left"/>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E">
            <w:pPr>
              <w:widowControl w:val="1"/>
              <w:spacing w:after="0" w:before="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Ik heb de spelregels begrepen:</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De vergoeding van €1.250 is voor deelname aan alle 3 de bijeenkomsten. Als je een bijeenkomst overslaat, betekent dit ook dat de vergoeding lager wordt. </w:t>
            </w:r>
            <w:r w:rsidDel="00000000" w:rsidR="00000000" w:rsidRPr="00000000">
              <w:rPr>
                <w:rtl w:val="0"/>
              </w:rPr>
            </w:r>
          </w:p>
        </w:tc>
        <w:tc>
          <w:tcPr/>
          <w:p w:rsidR="00000000" w:rsidDel="00000000" w:rsidP="00000000" w:rsidRDefault="00000000" w:rsidRPr="00000000" w14:paraId="00000040">
            <w:pPr>
              <w:widowControl w:val="1"/>
              <w:spacing w:after="0" w:before="0" w:line="24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Ja / nee</w:t>
            </w:r>
            <w:r w:rsidDel="00000000" w:rsidR="00000000" w:rsidRPr="00000000">
              <w:rPr>
                <w:rtl w:val="0"/>
              </w:rPr>
            </w:r>
          </w:p>
        </w:tc>
      </w:tr>
    </w:tbl>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160" w:before="0" w:lineRule="auto"/>
        <w:rPr>
          <w:rFonts w:ascii="Times New Roman" w:cs="Times New Roman" w:eastAsia="Times New Roman" w:hAnsi="Times New Roman"/>
        </w:rPr>
      </w:pPr>
      <w:r w:rsidDel="00000000" w:rsidR="00000000" w:rsidRPr="00000000">
        <w:rPr>
          <w:rtl w:val="0"/>
        </w:rPr>
      </w:r>
    </w:p>
    <w:sectPr>
      <w:footerReference r:id="rId8" w:type="default"/>
      <w:footerReference r:id="rId9" w:type="first"/>
      <w:footerReference r:id="rId10" w:type="even"/>
      <w:pgSz w:h="16838" w:w="11906" w:orient="portrait"/>
      <w:pgMar w:bottom="1440" w:top="1440" w:left="1440" w:right="1440" w:header="0" w:footer="87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jaqzns78p7jy" w:id="2"/>
  <w:bookmarkEnd w:id="2"/>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76"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76"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7"/>
      <w:numFmt w:val="bullet"/>
      <w:lvlText w:val="-"/>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7"/>
      <w:numFmt w:val="bullet"/>
      <w:lvlText w:val="-"/>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l"/>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before="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edapo@tetem.nl"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J0x4jX1fqJkT5+Y5tCebjUJDqw==">CgMxLjAyDmgueWVxNmM3c3VoazY0Mg5oLmNlbHFtcXFsc2IzZTIPaWQuamFxem5zNzhwN2p5OAByITFDNnFMYUYzb2Y1eUdOZlY3LUQtVjRHR1Y0U2FFTmxxZg==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