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83388D">
        <w:t>V</w:t>
      </w:r>
      <w:r w:rsidR="00CD3226">
        <w:t>I</w:t>
      </w:r>
      <w:r w:rsidR="000E63CA">
        <w:t>I</w:t>
      </w:r>
      <w:r w:rsidR="006C048F" w:rsidRPr="001A5268">
        <w:t>.</w:t>
      </w:r>
    </w:p>
    <w:p w:rsidR="00764315" w:rsidRPr="001A5268" w:rsidRDefault="00825ABE" w:rsidP="005A69A4">
      <w:pPr>
        <w:pStyle w:val="Heading1"/>
        <w:contextualSpacing/>
        <w:jc w:val="center"/>
        <w:rPr>
          <w:rFonts w:ascii="Constantia" w:hAnsi="Constantia"/>
          <w:b w:val="0"/>
          <w:sz w:val="48"/>
          <w:szCs w:val="44"/>
        </w:rPr>
      </w:pPr>
      <w:r>
        <w:rPr>
          <w:rFonts w:ascii="Constantia" w:hAnsi="Constantia"/>
          <w:b w:val="0"/>
          <w:sz w:val="48"/>
          <w:szCs w:val="44"/>
        </w:rPr>
        <w:t>Ébresztő trombitaszó</w:t>
      </w:r>
    </w:p>
    <w:p w:rsidR="00764315" w:rsidRPr="001A5268" w:rsidRDefault="007B06C2" w:rsidP="00764315">
      <w:pPr>
        <w:pStyle w:val="Alcm-Igehely"/>
      </w:pPr>
      <w:r w:rsidRPr="001A5268">
        <w:t xml:space="preserve">Jel </w:t>
      </w:r>
      <w:r w:rsidR="000E63CA">
        <w:t>8</w:t>
      </w:r>
      <w:r w:rsidR="00395B09">
        <w:t>:</w:t>
      </w:r>
      <w:r w:rsidR="000E63CA">
        <w:t>2</w:t>
      </w:r>
      <w:r w:rsidR="00395B09">
        <w:t>–1</w:t>
      </w:r>
      <w:r w:rsidR="000E63CA">
        <w:t>3</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proofErr w:type="spellStart"/>
      <w:r w:rsidR="00E76F01">
        <w:rPr>
          <w:b w:val="0"/>
        </w:rPr>
        <w:t>Józs</w:t>
      </w:r>
      <w:proofErr w:type="spellEnd"/>
      <w:r w:rsidR="00E76F01">
        <w:rPr>
          <w:b w:val="0"/>
        </w:rPr>
        <w:t xml:space="preserve"> 6:1–17</w:t>
      </w:r>
    </w:p>
    <w:p w:rsidR="00C3593F" w:rsidRPr="00C3593F" w:rsidRDefault="00C3593F" w:rsidP="00C3593F"/>
    <w:p w:rsidR="008D3FB0" w:rsidRPr="00C75BD2"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r w:rsidR="00C75BD2">
        <w:rPr>
          <w:b w:val="0"/>
          <w:spacing w:val="-2"/>
        </w:rPr>
        <w:t xml:space="preserve">Az emberi történelem figyelmeztető csapások sorozata, amelyek az Istenhez való megtérésre szólítanak fel. Isten népeként </w:t>
      </w:r>
      <w:r w:rsidR="00642482">
        <w:rPr>
          <w:b w:val="0"/>
          <w:spacing w:val="-2"/>
        </w:rPr>
        <w:t>azonban ezek ne rettentsenek meg, hanem bízzunk Istenben, aki uralma alatt tartja a világot, és éljünk az imádság kiváltságával, történelmet átformáló erejével!</w:t>
      </w:r>
    </w:p>
    <w:p w:rsidR="007758C2" w:rsidRDefault="007758C2" w:rsidP="004A6F5B"/>
    <w:p w:rsidR="0089733A" w:rsidRDefault="0089733A" w:rsidP="0089733A">
      <w:r>
        <w:t xml:space="preserve">Képzeld el, hogy egy bank biztonsági részlegének központjában ülsz. Előtted egy óriási képernyő, amin a biztonsági kamerák felvételeit nézegeted. Kedved szerint válthatsz a különböző kamerák által rögzített képek között. Szükséged is van erre, hiszen baj történt. Behatoltak a bank </w:t>
      </w:r>
      <w:r w:rsidR="00F15C15">
        <w:t>páncéltermébe! Először nem is világos, hogyan történt. A rablók ügyesen álcázták magukat, és kikerülték pár kamera látómezejét. De az összes felvételt megnézve az események menete lassan világossá válik. A különböző nézőpontok kiegészítik egymást. Ami az egyik kameraállásból kimaradt, azt a másik pótolja. Így már nem lesz nehéz dolgod elkapni a betörőket.</w:t>
      </w:r>
    </w:p>
    <w:p w:rsidR="00F15C15" w:rsidRDefault="00F15C15" w:rsidP="0089733A">
      <w:r>
        <w:t>Hasonló nyomozásban van részed a Jelenések könyve során is.</w:t>
      </w:r>
      <w:r w:rsidR="00791979">
        <w:t xml:space="preserve"> Ebben a könyvben Isten megmutatja számunkra Isten tervét e világgal: egészen az utolsó ítéletig, sőt azután. Erről szólt a hétpecsétes könyv felnyitása. A hetedik pecséttel eljutottunk az utolsó ítéletig. S most egy újabb hetes sorozattal, hét trombitával találjuk szembe magunkat. Mi végre? Mi Isten célja ezzel? </w:t>
      </w:r>
    </w:p>
    <w:p w:rsidR="00791979" w:rsidRDefault="00791979" w:rsidP="0089733A">
      <w:r>
        <w:t>Az, ami</w:t>
      </w:r>
      <w:r w:rsidR="0025791F">
        <w:t xml:space="preserve"> a sok biztonsági kamerának: több szemszögből bemutatni ugyanazt az eseményt, hogy így jobban megértsük, mi történik. A Jelenések könyvében </w:t>
      </w:r>
      <w:r w:rsidR="0025791F" w:rsidRPr="00D93129">
        <w:rPr>
          <w:i/>
        </w:rPr>
        <w:t>Isten</w:t>
      </w:r>
      <w:r w:rsidR="0025791F">
        <w:t xml:space="preserve"> </w:t>
      </w:r>
      <w:r w:rsidR="0025791F">
        <w:rPr>
          <w:i/>
        </w:rPr>
        <w:t>ismétel</w:t>
      </w:r>
      <w:r w:rsidR="0025791F">
        <w:t>. A három hetes sorozat – hét pecsét, a hét trombita, a hét pohár – mind ugyanazt a történetet mondja el: az utolsó ítéletig vezető utat. Mindhárom sorozatban az utolsó állomás a végső ítélet. A hetedik pecsétnél ezt jelzi a mennyei csend, amikor Isten felkel az ítélet végrehajtására (8:1). A hetedik trombitánál ezt jelzik a hatalmas hangok, akik dicsérik Istent, hogy átvette a teljes hatalmat e világ felett (11:15–18). A hetedik pohárnál erről szól a „Meglett” kifejezés, amikor a bukott világot jelképező város összedől, és minden hegy és sziget eltűnik</w:t>
      </w:r>
      <w:r w:rsidR="00280DDD">
        <w:t xml:space="preserve"> (16:17–21)</w:t>
      </w:r>
      <w:r w:rsidR="0025791F">
        <w:t>. Mindegyik sorozat a véghez vezet el minket.</w:t>
      </w:r>
      <w:r w:rsidR="00EB2EE0">
        <w:t xml:space="preserve"> Sőt, ez az ismétlés világos abból is, hogy a pecsétek, trombiták, poharak eseményei nem is következhetnek időrendben egymásután. Példának okáért a hatodik pecsétben lehullnak a csillagok, fekete lesz a nap és eltűnik az ég. Majd a negyedik trombitánál elsötétül a nap, hold és csillagok harmada. Hogyan történhetne ez, ha korábban, a hatodik pecsétnél mindezek már teljesen eltűntek? Nyilván úgy, hogy e sorozatok nem időrendben követik egymást. Hanem az egyes sorozatok végén mintegy megnyomják a visszatekerés gombot, és az események újra elölről kezdődnek.</w:t>
      </w:r>
    </w:p>
    <w:p w:rsidR="0025791F" w:rsidRDefault="00EB2EE0" w:rsidP="0089733A">
      <w:r>
        <w:t xml:space="preserve">Ám </w:t>
      </w:r>
      <w:r w:rsidR="00316CE2">
        <w:t xml:space="preserve">a különböző hetes láncolatok nem szolgai másolatai egymásnak. Nem ugyanazt szajkózzák. Hanem mindegyik újabb, fontos részleteket ad az előzőhöz. Akárcsak a különböző kameraállások: mindegyikre szükségünk van, ha pontosan meg akarjuk érteni a történteket. </w:t>
      </w:r>
      <w:r w:rsidR="001812C9">
        <w:t>Van, ami mindkét felvételen jól látszik, és ugyanaz. Vannak azonban olyan dolgok, amelyeket csak egy-egy beállítás hoz felszínre. Ez történik most velünk is: elérve az utolsó ítélethez, az események újra elölről indulnak, csak átváltunk egy más kameraállásra.</w:t>
      </w:r>
    </w:p>
    <w:p w:rsidR="001812C9" w:rsidRDefault="001812C9" w:rsidP="001812C9">
      <w:pPr>
        <w:pStyle w:val="Heading2"/>
      </w:pPr>
      <w:r>
        <w:lastRenderedPageBreak/>
        <w:t>A trombiták figyelmeztetnek</w:t>
      </w:r>
    </w:p>
    <w:p w:rsidR="001812C9" w:rsidRDefault="001602D3" w:rsidP="001812C9">
      <w:r>
        <w:t xml:space="preserve">A hét </w:t>
      </w:r>
      <w:r w:rsidR="00E850B5">
        <w:t xml:space="preserve">pecsét után a hét trombita jelképezi az új sorozatot. Az elnevezés itt is beszédes. A pecsétek jelezték, hogy Isten akarata titkos. Csak Jézus Krisztus tudja felnyitni és elolvasni. Csak azok érthetik meg Isten tervét e világgal, akik számára Krisztus azt megmutatja. És a Jelenések hét pecsétjéről szóló látomásokban Krisztus fellebbentette ezt a fátylat. </w:t>
      </w:r>
    </w:p>
    <w:p w:rsidR="00E850B5" w:rsidRPr="00D93129" w:rsidRDefault="002127DB" w:rsidP="001812C9">
      <w:pPr>
        <w:rPr>
          <w:spacing w:val="-4"/>
        </w:rPr>
      </w:pPr>
      <w:r w:rsidRPr="00D93129">
        <w:rPr>
          <w:spacing w:val="-4"/>
        </w:rPr>
        <w:t xml:space="preserve">Ám most a trombitáknál vagyunk: </w:t>
      </w:r>
      <w:r w:rsidRPr="00D93129">
        <w:rPr>
          <w:i/>
          <w:spacing w:val="-4"/>
        </w:rPr>
        <w:t>„</w:t>
      </w:r>
      <w:r w:rsidR="001008AF" w:rsidRPr="00D93129">
        <w:rPr>
          <w:i/>
          <w:spacing w:val="-4"/>
          <w:vertAlign w:val="superscript"/>
        </w:rPr>
        <w:t>6</w:t>
      </w:r>
      <w:r w:rsidRPr="00D93129">
        <w:rPr>
          <w:i/>
          <w:spacing w:val="-4"/>
        </w:rPr>
        <w:t>És a hét angyal, akinél a hét trombita volt, trombitáláshoz készült.”</w:t>
      </w:r>
      <w:r w:rsidR="00E850B5" w:rsidRPr="00D93129">
        <w:rPr>
          <w:spacing w:val="-4"/>
        </w:rPr>
        <w:t xml:space="preserve"> Mit jelképez a trombita? Elég sok mindent. </w:t>
      </w:r>
      <w:r w:rsidR="00932D2C" w:rsidRPr="00D93129">
        <w:rPr>
          <w:spacing w:val="-4"/>
        </w:rPr>
        <w:t>Az Ószövetségben k</w:t>
      </w:r>
      <w:r w:rsidR="00E850B5" w:rsidRPr="00D93129">
        <w:rPr>
          <w:spacing w:val="-4"/>
        </w:rPr>
        <w:t xml:space="preserve">ét ezüst trombitával hívták össze Isten népének gyülekezetét (4Móz 10:2–3). Trombitaszó jelezte az elengedés </w:t>
      </w:r>
      <w:r w:rsidR="00932D2C" w:rsidRPr="00D93129">
        <w:rPr>
          <w:spacing w:val="-4"/>
        </w:rPr>
        <w:t>évének örömteli eljöttét (3Móz 25:9). Trombita</w:t>
      </w:r>
      <w:r w:rsidR="00AF3B8C" w:rsidRPr="00D93129">
        <w:rPr>
          <w:spacing w:val="-4"/>
        </w:rPr>
        <w:t xml:space="preserve">szóval szállt le Isten </w:t>
      </w:r>
      <w:r w:rsidR="00932D2C" w:rsidRPr="00D93129">
        <w:rPr>
          <w:spacing w:val="-4"/>
        </w:rPr>
        <w:t xml:space="preserve">a Sínai-hegyre (2Móz 19:16, 19). </w:t>
      </w:r>
      <w:r w:rsidR="00AF3B8C" w:rsidRPr="00D93129">
        <w:rPr>
          <w:spacing w:val="-4"/>
        </w:rPr>
        <w:t>Hét t</w:t>
      </w:r>
      <w:r w:rsidR="00932D2C" w:rsidRPr="00D93129">
        <w:rPr>
          <w:spacing w:val="-4"/>
        </w:rPr>
        <w:t>rombita szólt Jerikó ostromakor (Bír 6)</w:t>
      </w:r>
      <w:r w:rsidR="00D93129" w:rsidRPr="00D93129">
        <w:rPr>
          <w:spacing w:val="-4"/>
        </w:rPr>
        <w:t>: figyelmeztetve a város lakóit, majd jelezve pusztulását.</w:t>
      </w:r>
      <w:r w:rsidR="00932D2C" w:rsidRPr="00D93129">
        <w:rPr>
          <w:spacing w:val="-4"/>
        </w:rPr>
        <w:t xml:space="preserve"> Salamon megkoronázás</w:t>
      </w:r>
      <w:r w:rsidR="00AF3B8C" w:rsidRPr="00D93129">
        <w:rPr>
          <w:spacing w:val="-4"/>
        </w:rPr>
        <w:t>át is trombiták hirdették</w:t>
      </w:r>
      <w:r w:rsidR="00932D2C" w:rsidRPr="00D93129">
        <w:rPr>
          <w:spacing w:val="-4"/>
        </w:rPr>
        <w:t xml:space="preserve"> (1Kir 1:34). Trombitaszóval hívta fel az Úr népének figyelmét a bűneikre (</w:t>
      </w:r>
      <w:proofErr w:type="spellStart"/>
      <w:r w:rsidR="00932D2C" w:rsidRPr="00D93129">
        <w:rPr>
          <w:spacing w:val="-4"/>
        </w:rPr>
        <w:t>Ézs</w:t>
      </w:r>
      <w:proofErr w:type="spellEnd"/>
      <w:r w:rsidR="00932D2C" w:rsidRPr="00D93129">
        <w:rPr>
          <w:spacing w:val="-4"/>
        </w:rPr>
        <w:t xml:space="preserve"> 58:1; </w:t>
      </w:r>
      <w:proofErr w:type="spellStart"/>
      <w:r w:rsidR="00932D2C" w:rsidRPr="00D93129">
        <w:rPr>
          <w:spacing w:val="-4"/>
        </w:rPr>
        <w:t>Jóel</w:t>
      </w:r>
      <w:proofErr w:type="spellEnd"/>
      <w:r w:rsidR="00932D2C" w:rsidRPr="00D93129">
        <w:rPr>
          <w:spacing w:val="-4"/>
        </w:rPr>
        <w:t xml:space="preserve"> 2:1). Az Újszövetségben pedig trombita jelzi Krisztus visszajövetelét és a halottak feltámadását (1Kor 15:52). </w:t>
      </w:r>
    </w:p>
    <w:p w:rsidR="005971B2" w:rsidRPr="00AF3B8C" w:rsidRDefault="00AF3B8C" w:rsidP="004C51B9">
      <w:r>
        <w:t xml:space="preserve">Mi a közös mindezekben? Az, hogy a trombitaszó mindig </w:t>
      </w:r>
      <w:r>
        <w:rPr>
          <w:i/>
        </w:rPr>
        <w:t>valami fontos dologra figyelmeztet</w:t>
      </w:r>
      <w:r>
        <w:t>. Ez lehet örömteli vagy éppen súlyos, de a lényeg ez: valami fontos történik! A trombita fel akar rázni. Figyelmünket meg akarja ragadni. Az itt lévő versekben valami olyat hallunk, amire mindenképpen fontos figyelni.</w:t>
      </w:r>
    </w:p>
    <w:p w:rsidR="00363F98" w:rsidRDefault="00363F98" w:rsidP="001812C9">
      <w:pPr>
        <w:pStyle w:val="Heading2"/>
      </w:pPr>
      <w:r>
        <w:t>F</w:t>
      </w:r>
      <w:r w:rsidR="001812C9">
        <w:t>i</w:t>
      </w:r>
      <w:r>
        <w:t>gyelmeztet</w:t>
      </w:r>
      <w:r w:rsidR="001812C9">
        <w:t>nek</w:t>
      </w:r>
      <w:r>
        <w:t xml:space="preserve"> a</w:t>
      </w:r>
      <w:r w:rsidR="002A3013">
        <w:t>z imádság hathatós voltára</w:t>
      </w:r>
    </w:p>
    <w:p w:rsidR="00611EEA" w:rsidRDefault="002A3013" w:rsidP="001008AF">
      <w:r>
        <w:t xml:space="preserve">A trombiták figyelmeztetnek először </w:t>
      </w:r>
      <w:r>
        <w:rPr>
          <w:i/>
        </w:rPr>
        <w:t>az imádság hathatós voltára</w:t>
      </w:r>
      <w:r>
        <w:t xml:space="preserve">. Érdekes módon már a 8:2-ben megjelenik a hét trombita, ám az első trombitaszóra a 7. versig várni kell. </w:t>
      </w:r>
      <w:r w:rsidR="00310A71">
        <w:t xml:space="preserve">A közbenső </w:t>
      </w:r>
      <w:proofErr w:type="gramStart"/>
      <w:r w:rsidR="00310A71">
        <w:t xml:space="preserve">szakasz </w:t>
      </w:r>
      <w:r w:rsidR="007807F4">
        <w:t xml:space="preserve"> pedig</w:t>
      </w:r>
      <w:proofErr w:type="gramEnd"/>
      <w:r w:rsidR="007807F4">
        <w:t xml:space="preserve"> a mennyre fordítja figyelmünket, ahol az imádságaink Isten elé kerülnek.</w:t>
      </w:r>
      <w:r w:rsidR="00611EEA">
        <w:t xml:space="preserve"> </w:t>
      </w:r>
    </w:p>
    <w:p w:rsidR="001008AF" w:rsidRDefault="00611EEA" w:rsidP="00611EEA">
      <w:pPr>
        <w:pStyle w:val="Quote"/>
      </w:pPr>
      <w:r>
        <w:t>„</w:t>
      </w:r>
      <w:r w:rsidRPr="00611EEA">
        <w:rPr>
          <w:vertAlign w:val="superscript"/>
        </w:rPr>
        <w:t>3</w:t>
      </w:r>
      <w:r w:rsidRPr="00611EEA">
        <w:t xml:space="preserve">És jött egy másik angyal, megállt az oltárnál aranytömjénezőt tartva, és adatott annak sok tömjén, hogy minden szent imádságához tegye az aranyoltárra, amely a trón előtt volt. </w:t>
      </w:r>
      <w:r w:rsidRPr="00611EEA">
        <w:rPr>
          <w:vertAlign w:val="superscript"/>
        </w:rPr>
        <w:t>4</w:t>
      </w:r>
      <w:r w:rsidRPr="00611EEA">
        <w:t>És felment a tömjén füstje a szentek imádságaival az angyal kezéből Isten elé.</w:t>
      </w:r>
      <w:r>
        <w:t>”</w:t>
      </w:r>
    </w:p>
    <w:p w:rsidR="00611EEA" w:rsidRDefault="00611EEA" w:rsidP="00611EEA">
      <w:r>
        <w:t xml:space="preserve">Ez a kép </w:t>
      </w:r>
      <w:r w:rsidR="00506E96">
        <w:t>az ószövetségi áldozatokat juttatja eszünkbe. Az aranyoltár, vagy illatáldozati oltár a templom szentélyében volt, legközelebb a legbelső szentek szentjéhez, amitől csak egy kárpit választotta el (2Móz 40:5). A papok ezen az oltáron csak egy különleges, Isten által meghatározott illatszert égethettek. Az illat aztán betöltötte az egész templomot, és felszállt, beszállt a szentek szentjébe, ahol az Isten jelenlétét jelképező frigyláda volt. Ezáltal vált az illatáldozat jelképévé annak, hogy Isten kellemes illatként, jóindulattal fogadja el tőlünk felajánlásunkat.</w:t>
      </w:r>
    </w:p>
    <w:p w:rsidR="00506E96" w:rsidRDefault="00506E96" w:rsidP="00611EEA">
      <w:r>
        <w:t xml:space="preserve">Ám az angyal nem csupán ezt a földi szertartást végzi. Hanem az illatszert „minden szent imádságához” teszi hozzá. Azután az imádságok immár illatfelhőbe burkolva bejutnak Isten elé – mint </w:t>
      </w:r>
      <w:proofErr w:type="spellStart"/>
      <w:r>
        <w:t>jóillatú</w:t>
      </w:r>
      <w:proofErr w:type="spellEnd"/>
      <w:r>
        <w:t xml:space="preserve"> áldozat.</w:t>
      </w:r>
    </w:p>
    <w:p w:rsidR="00506E96" w:rsidRDefault="00506E96" w:rsidP="00611EEA">
      <w:r>
        <w:t xml:space="preserve">Miről szól ez az egész jelenet? Hát arról az örömteli tényről, hogy </w:t>
      </w:r>
      <w:r w:rsidRPr="00D93129">
        <w:rPr>
          <w:i/>
        </w:rPr>
        <w:t>Isten meghallgat minket</w:t>
      </w:r>
      <w:r>
        <w:t xml:space="preserve">! A világ </w:t>
      </w:r>
      <w:r w:rsidR="00470CFF">
        <w:t>T</w:t>
      </w:r>
      <w:r>
        <w:t xml:space="preserve">eremtője meghallja és számon tartja kéréseinket! A világ ítélő Bírája </w:t>
      </w:r>
      <w:proofErr w:type="spellStart"/>
      <w:r>
        <w:t>jóillatként</w:t>
      </w:r>
      <w:proofErr w:type="spellEnd"/>
      <w:r>
        <w:t xml:space="preserve">, kedvesen, örömmel hallja mindazt, amit kérünk tőle! Nem csodálatos ez, szeretett gyülekezet. Nem megindító, hogy sokszor akadozó, </w:t>
      </w:r>
      <w:r w:rsidR="00470CFF">
        <w:t>gyenge, nem túl bölcs kéréseink a Mindenható elfogadását élvezik? Ezzel a képpel az Úr Isten bátorítani akar, hogy imádságainknak van értelme. Nem a falnak vagy a plafonnak mondott szavak azok, hanem az Örökkévaló szent színe elé kerülnek.</w:t>
      </w:r>
    </w:p>
    <w:p w:rsidR="00470CFF" w:rsidRDefault="00470CFF" w:rsidP="00611EEA">
      <w:r>
        <w:t xml:space="preserve">Miért? Azért, mert mi olyan jó emberek vagyunk? Netalán olyan jól imádkozunk? Azért, mert mi komoly keresztyének vagy akár presbiteriánusok vagyunk? Ó, nem! Figyeljétek meg azt a részletet, hogy az angyal által hozzátett tömjén biztosítja, hogy imádságaink </w:t>
      </w:r>
      <w:proofErr w:type="spellStart"/>
      <w:r>
        <w:t>jóillatúak</w:t>
      </w:r>
      <w:proofErr w:type="spellEnd"/>
      <w:r>
        <w:t xml:space="preserve"> legyenek Isten előtt. Az ok nem bennünk van, és nem is az imáinkban van. Nem azért, mert elég komolyan veszed a keresztyénséget, vagy elég elfogadható szavakat mondasz el a könyörgésedben. Nem, a mi imáink önmagukban nem jutnának fel a mennybe – mégis Isten az ő kegyelméből kipótolja mindazt, ami hiányosság az imáinkban a mennyei tömjénnel, és örömmel veszi szavainkat. </w:t>
      </w:r>
    </w:p>
    <w:p w:rsidR="00470CFF" w:rsidRDefault="00470CFF" w:rsidP="00611EEA">
      <w:r>
        <w:lastRenderedPageBreak/>
        <w:t xml:space="preserve">Miért? Az Úr Jézus Krisztusért. A Jelenések könyvének válasza, mint ahogy a Szentírás válasza az, hogy csak azért szállnak fel imádságaink Istenhez, csak azért kímél meg ő minket a nagy nyomorúságban, csak azért óv meg a Fenevadtól, csak azért ad nekünk fehér menyegzői ruhát, csak azért engedi meg, hogy trónja előtt megjelenjünk és énekeljünk, mert Jézus Krisztus értünk meghalt és szenvedett. Jézus Krisztus teszi a különbséget. Ő fogad Isten gyermekeivé minket. Az ő áldozatába, megváltó munkájába vetett hit tud egyedül kedvessé tenni minket Isten előtt. </w:t>
      </w:r>
      <w:r w:rsidR="008E0894">
        <w:t>Ez az evangélium: hogy mi rosszul imádkozó bűnösök mégis meghallgatást kapunk, ha Jézus Krisztusban bízunk. Lehet, hogy szülőként haragunkban mondunk olyat gyerekünknek, hogy nem érdekel, mit akar mondani. De ez a szó a mennyei Atya ajkát sosem hagyja el. Ő elfogadott minket nem az érdemeinkért vagy tetteinkért, és ezután is el fog fogadni Jézusért örökre.</w:t>
      </w:r>
      <w:r w:rsidR="00D61A5E">
        <w:t xml:space="preserve"> Nem bátorít ez arra, hogy imádkozz?</w:t>
      </w:r>
    </w:p>
    <w:p w:rsidR="008E0894" w:rsidRPr="008E0894" w:rsidRDefault="008E0894" w:rsidP="00611EEA">
      <w:r>
        <w:t xml:space="preserve">Ám az imádságról való emlékeztetés nem ér még itt véget. Hiszen a szentek imája nem csupán Isten elé megy, hanem hatást is vált ki: </w:t>
      </w:r>
      <w:r>
        <w:rPr>
          <w:i/>
        </w:rPr>
        <w:t>„</w:t>
      </w:r>
      <w:r w:rsidRPr="008E0894">
        <w:rPr>
          <w:i/>
          <w:vertAlign w:val="superscript"/>
        </w:rPr>
        <w:t>5</w:t>
      </w:r>
      <w:r w:rsidRPr="008E0894">
        <w:rPr>
          <w:i/>
        </w:rPr>
        <w:t>Azután vette az angyal a tömjénezőt, és megtöltötte azt az oltár tüzével, és levetette a földre, és mennydörgés, égzengés, villámlások és földrengés támadt.</w:t>
      </w:r>
      <w:r>
        <w:rPr>
          <w:i/>
        </w:rPr>
        <w:t xml:space="preserve">” </w:t>
      </w:r>
      <w:r>
        <w:t>És ezután elindul a hét trombita csapás-sorozata.</w:t>
      </w:r>
    </w:p>
    <w:p w:rsidR="007807F4" w:rsidRPr="00D93129" w:rsidRDefault="008E0894" w:rsidP="001008AF">
      <w:r w:rsidRPr="00D93129">
        <w:t xml:space="preserve">Isten ezzel arra emlékeztet, hogy </w:t>
      </w:r>
      <w:r w:rsidRPr="00D93129">
        <w:rPr>
          <w:i/>
        </w:rPr>
        <w:t>az imádságaink sosem hiábavalók</w:t>
      </w:r>
      <w:r w:rsidRPr="00D93129">
        <w:t xml:space="preserve">. Az imádságnak hatása van. Istennek úgy tetszett, hogy az imádságaink által teljesítse be e földi történelmet. Lehet, hogy összezavarodsz: „De én nem imádkoztam csapásokért!” Nem is erről van szó. </w:t>
      </w:r>
      <w:r w:rsidR="00691473" w:rsidRPr="00D93129">
        <w:t xml:space="preserve">Nem kell a </w:t>
      </w:r>
      <w:r w:rsidR="00D93129" w:rsidRPr="00D93129">
        <w:t xml:space="preserve">rosszakaróink </w:t>
      </w:r>
      <w:r w:rsidR="00691473" w:rsidRPr="00D93129">
        <w:t xml:space="preserve">pusztulásáért vagy katasztrófákért imádkozni. </w:t>
      </w:r>
      <w:r w:rsidR="00D61A5E" w:rsidRPr="00D93129">
        <w:t xml:space="preserve">De minden ima, amely Isten országáért hangzik el, eszköz Isten kezében, hogy növelje az ő országát, és rombolja a sátán uralmát. </w:t>
      </w:r>
      <w:r w:rsidR="00D93129" w:rsidRPr="00D93129">
        <w:t xml:space="preserve">Isten nemcsak hallja, hanem válaszol is könyörgésünkre (vö. 2Móz 3:7–9). </w:t>
      </w:r>
      <w:r w:rsidR="00D61A5E" w:rsidRPr="00D93129">
        <w:t>Imádságaink nem csak díszletek, hanem lényegi részek az evangélium diadalra jutásában.</w:t>
      </w:r>
      <w:r w:rsidR="00973C21" w:rsidRPr="00D93129">
        <w:t xml:space="preserve"> Kris</w:t>
      </w:r>
      <w:bookmarkStart w:id="0" w:name="_GoBack"/>
      <w:bookmarkEnd w:id="0"/>
      <w:r w:rsidR="00973C21" w:rsidRPr="00D93129">
        <w:t>ztus katonáinak egyik legfontosabb harci taktikája a buzgó, kitartó imádság.</w:t>
      </w:r>
      <w:r w:rsidR="00D93129" w:rsidRPr="00D93129">
        <w:rPr>
          <w:rStyle w:val="FootnoteReference"/>
        </w:rPr>
        <w:footnoteReference w:id="1"/>
      </w:r>
      <w:r w:rsidR="00D61A5E" w:rsidRPr="00D93129">
        <w:t xml:space="preserve"> Ezért volt az, hogy Mária, a skótok királynője azt mondta a reformátor John </w:t>
      </w:r>
      <w:proofErr w:type="spellStart"/>
      <w:r w:rsidR="00D61A5E" w:rsidRPr="00D93129">
        <w:t>Knoxról</w:t>
      </w:r>
      <w:proofErr w:type="spellEnd"/>
      <w:r w:rsidR="00D61A5E" w:rsidRPr="00D93129">
        <w:t xml:space="preserve">: „Jobban félek John </w:t>
      </w:r>
      <w:proofErr w:type="spellStart"/>
      <w:r w:rsidR="00D61A5E" w:rsidRPr="00D93129">
        <w:t>Knox</w:t>
      </w:r>
      <w:proofErr w:type="spellEnd"/>
      <w:r w:rsidR="00D61A5E" w:rsidRPr="00D93129">
        <w:t xml:space="preserve"> imáitól, mint az egész Európa összevont hadseregétől.”</w:t>
      </w:r>
      <w:r w:rsidR="00D61A5E" w:rsidRPr="00D93129">
        <w:rPr>
          <w:rStyle w:val="FootnoteReference"/>
        </w:rPr>
        <w:footnoteReference w:id="2"/>
      </w:r>
      <w:r w:rsidR="00D61A5E" w:rsidRPr="00D93129">
        <w:t xml:space="preserve"> Nem bátorít ez arra, testvérem, hogy imádkozz?</w:t>
      </w:r>
    </w:p>
    <w:p w:rsidR="00D61A5E" w:rsidRDefault="00D61A5E" w:rsidP="00D61A5E">
      <w:pPr>
        <w:pStyle w:val="Heading2"/>
      </w:pPr>
      <w:r>
        <w:t>Figyelmeztetnek, hogy Isten a szuverén ura mindennek</w:t>
      </w:r>
    </w:p>
    <w:p w:rsidR="00D61A5E" w:rsidRDefault="00D61A5E" w:rsidP="00D61A5E">
      <w:r>
        <w:t xml:space="preserve">Másodszor, a trombiták emlékeztetnek minket arra, hogy </w:t>
      </w:r>
      <w:r>
        <w:rPr>
          <w:i/>
        </w:rPr>
        <w:t>Isten a kétség nélküli ura mindennek ezen a világon</w:t>
      </w:r>
      <w:r>
        <w:t xml:space="preserve">. </w:t>
      </w:r>
      <w:r w:rsidR="00973C21">
        <w:t xml:space="preserve">Ha megfigyeltétek, az első négy trombita meghatározott mintát követ. Az első trombita csapásában </w:t>
      </w:r>
      <w:r w:rsidR="00973C21">
        <w:rPr>
          <w:i/>
        </w:rPr>
        <w:t xml:space="preserve">a föld </w:t>
      </w:r>
      <w:r w:rsidR="00973C21">
        <w:t xml:space="preserve">harmada megégett. A másodikra a </w:t>
      </w:r>
      <w:r w:rsidR="00973C21">
        <w:rPr>
          <w:i/>
        </w:rPr>
        <w:t xml:space="preserve">tenger </w:t>
      </w:r>
      <w:r w:rsidR="00973C21">
        <w:t xml:space="preserve">harmada veszett oda, a harmadik során a </w:t>
      </w:r>
      <w:r w:rsidR="00973C21" w:rsidRPr="00973C21">
        <w:rPr>
          <w:i/>
        </w:rPr>
        <w:t>folyók és édesvizek</w:t>
      </w:r>
      <w:r w:rsidR="00973C21">
        <w:t xml:space="preserve"> harmada, míg a negyediknél az </w:t>
      </w:r>
      <w:r w:rsidR="00973C21" w:rsidRPr="00973C21">
        <w:rPr>
          <w:i/>
        </w:rPr>
        <w:t>ég</w:t>
      </w:r>
      <w:r w:rsidR="00973C21">
        <w:t xml:space="preserve"> harmada sötétült el. Föld, sós vizek, édes vizek, majd az ég – e négy leírja az emberi élet környezetét. A föld, amely az élelmet adja és lakóhelyül szolgál. A tenger, amely szintén az élelem és a kereskedelem színtere. Az édesvizek, mint ivóvizeink forrása. A nap fénye, ami nélkül nem lehet élet. Az első négy trombita csapásaiban tehát Isten fokozatosan elvesz dolgokat, amelyek életünk és jólétünk fenntartásának feltételei.</w:t>
      </w:r>
      <w:r w:rsidR="00E6111A">
        <w:t xml:space="preserve"> Ha Ószövetségi példát keresnénk, akkor az egyiptomi csapásokban találnánk meg. Ott is és itt is</w:t>
      </w:r>
      <w:r w:rsidR="00973C21">
        <w:t xml:space="preserve"> Isten fokozatosan térdre kényszeríti az ellene lázadó emberiséget, hogy megmutassa: ő az egyedül</w:t>
      </w:r>
      <w:r w:rsidR="00E6111A">
        <w:t xml:space="preserve">i úr, e világ fenntartója – és nincs senki, de senki, aki vele vetekedhetne, aki hozzá hasonló lenne. </w:t>
      </w:r>
    </w:p>
    <w:p w:rsidR="00E6111A" w:rsidRDefault="00E6111A" w:rsidP="00D61A5E">
      <w:r>
        <w:t>Fontos, hogy ezen a ponton ne valami konkrétan meghatározott, egyszeri csapásokra gondoljunk. Mintha a nagy tüzes égő hegy biztosan egy meteorit becsapódásáról szóló prófécia lenne. Ha ilyen megfeleltetésekben gondolkodunk, akkor elfelejtkezünk arról, hogy János nyelvezete jelképes. Mint ahogy képletesen értjük azt, hogy három verssel ezelőtt a mennyben lévő angyal az oltár tüzét a földre dobja, úgy a négy trombita képe sem valami egyszeri, szószerinti természeti katasztrófáról beszél. Isten az emberiség térdre kényszerítését és megalázását elérheti nagy katasztrófák által ugyanúgy, mint elhúzódó háborúk, rossz időjárás vagy környezetszennyezés által. A Jelenések nem pontos részleteket ad, hanem felvázolja Isten tervét előttünk, hogy ő a történelem egyetlen időszakában sem hagy kétséget afelől, hogy ő az egyetlen Úr, akihez senki sem mérhető. Ez igaz volt Egyiptomnál, Rómánál ugyanúgy, mint más birodalmaknál.</w:t>
      </w:r>
    </w:p>
    <w:p w:rsidR="00E6111A" w:rsidRDefault="00E6111A" w:rsidP="00D61A5E">
      <w:r>
        <w:lastRenderedPageBreak/>
        <w:t>De miért mondja ezt Isten el nekünk? Úgy gondolom azért, hogy ne féljünk, hanem benne bízzunk. A pecsétek</w:t>
      </w:r>
      <w:r w:rsidR="004003C8">
        <w:t xml:space="preserve">nél láttuk, hogy a négy lovas által hozott csapások elérik Isten népét is. Ám míg a hitetlenek számára mindezek Isten ítélete, addig az ő szentjei számára csupán a próba ideje. Hiszen a kormányrúdnál a mi Istenünk áll. A mi mennyei Atyánk irányítja a dolgokat. Őhozzá tartozunk, az ő népe vagyunk, az ő gyermekei, éppen ezért nincs okunk félni a jövőtől, és a tapasztalt csapásoktól. </w:t>
      </w:r>
      <w:r w:rsidR="00AD6152">
        <w:t>Bízhatunk abban, hogy ő biztosan vezet minket az örök boldogság felé.</w:t>
      </w:r>
    </w:p>
    <w:p w:rsidR="00AD6152" w:rsidRDefault="00AD6152" w:rsidP="00AD6152">
      <w:pPr>
        <w:pStyle w:val="Heading2"/>
      </w:pPr>
      <w:r>
        <w:t>Figyelmeztetnek a megtérésre</w:t>
      </w:r>
    </w:p>
    <w:p w:rsidR="00AD6152" w:rsidRDefault="00AD6152" w:rsidP="00AD6152">
      <w:r>
        <w:t xml:space="preserve">Végül pedig a trombiták figyelmeztetnek </w:t>
      </w:r>
      <w:r>
        <w:rPr>
          <w:i/>
        </w:rPr>
        <w:t>a megtérésre</w:t>
      </w:r>
      <w:r>
        <w:t>. Felfigyelhettünk arra, hogy az első négy trombita mindegyike csak korlátozott csapást hozott. A föld, tenger, folyók, ég esetében mindig „csak” a harmadrészét érte a csapás.  E ponton különbség van az első négy trombita és a harag első négy pohara között. Míg a trombitáknál Isten ítélete csak korlátozott, úgy a végső csapásokat megtestesítő poharaknál Isten haragja kiárad mindenkire, aki lázad ellene.</w:t>
      </w:r>
      <w:r w:rsidR="007A3E37">
        <w:t xml:space="preserve"> (Pontosan ez az oka, hogy az első négy pohárnál szintén a földet, tengert, folyókat és eget éri a csapás – ám ott már korlát nélkül.)</w:t>
      </w:r>
      <w:r>
        <w:t xml:space="preserve"> </w:t>
      </w:r>
    </w:p>
    <w:p w:rsidR="00AD6152" w:rsidRDefault="00AD6152" w:rsidP="00AD6152">
      <w:r>
        <w:t xml:space="preserve">Tehát mindaddig, amíg el nem érkezünk </w:t>
      </w:r>
      <w:r w:rsidR="005F4892">
        <w:t>a történelem utolsó időszakához, Isten határvonalat húz haragjának kiáradásában: eddig, és ne tovább! A trombiták csapásának időszaka ugyanis Isten felszólítása a megtérésre. Ahogyan Egyiptomban is Isten időt adott a fáraónak – bár az nem tért meg, hanem megkeményítette szívét (és vö. Jel 9:21) –, úgy Isten most is időt ad a lázadó emberiségnek, hogy elhagyja hiábavaló útjait, és az élő Istenhez térjen. Szörnyű Isten korlátozott haragja is, amikor az kiárad egy háború, egy tömeges éhínség, egy nagy természeti katasztrófa képében – de még mindig itt az idő, hogy az ember megtérjen, és ne tékozolja el az életét.</w:t>
      </w:r>
    </w:p>
    <w:p w:rsidR="00E51EA2" w:rsidRPr="00E51EA2" w:rsidRDefault="005F4892" w:rsidP="00E76F01">
      <w:r>
        <w:t>Mindennek fényében hadd kérdezzem: te meghallod-e a trombiták figyelmeztetését? Jössz-e fejet hajtani a mindenható Úr előtt? Jössz-e Krisztus kegyelméért könyörögni az Atya trónusa előtt? Kívánom, hogy ne csupán az időt told, hanem halld meg e nehézségeken és próbákon keresztül, hogy Isten figyelmeztet: „Íme, itt az alkalmas idő, íme</w:t>
      </w:r>
      <w:r w:rsidR="008E3581">
        <w:t>,</w:t>
      </w:r>
      <w:r>
        <w:t xml:space="preserve"> itt az üdvösség napja! Térjetek meg, és higgyetek az evangéliumban!” (</w:t>
      </w:r>
      <w:r w:rsidR="008E3581">
        <w:t>2Kor 6</w:t>
      </w:r>
      <w:proofErr w:type="gramStart"/>
      <w:r w:rsidR="008E3581">
        <w:t>;2</w:t>
      </w:r>
      <w:proofErr w:type="gramEnd"/>
      <w:r w:rsidR="008E3581">
        <w:t xml:space="preserve">; </w:t>
      </w:r>
      <w:proofErr w:type="spellStart"/>
      <w:r w:rsidR="008E3581">
        <w:t>Mk</w:t>
      </w:r>
      <w:proofErr w:type="spellEnd"/>
      <w:r w:rsidR="008E3581">
        <w:t xml:space="preserve"> 1:15) Ámen.</w:t>
      </w:r>
    </w:p>
    <w:sectPr w:rsidR="00E51EA2" w:rsidRPr="00E51EA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BF0" w:rsidRDefault="00DC0BF0" w:rsidP="00AF27D4">
      <w:r>
        <w:separator/>
      </w:r>
    </w:p>
  </w:endnote>
  <w:endnote w:type="continuationSeparator" w:id="0">
    <w:p w:rsidR="00DC0BF0" w:rsidRDefault="00DC0BF0"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9312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BF0" w:rsidRPr="004F5C0B" w:rsidRDefault="00DC0BF0" w:rsidP="004F5C0B">
      <w:pPr>
        <w:pStyle w:val="Footer"/>
        <w:ind w:firstLine="0"/>
      </w:pPr>
    </w:p>
  </w:footnote>
  <w:footnote w:type="continuationSeparator" w:id="0">
    <w:p w:rsidR="00DC0BF0" w:rsidRDefault="00DC0BF0" w:rsidP="004F5C0B">
      <w:pPr>
        <w:ind w:firstLine="0"/>
      </w:pPr>
      <w:r>
        <w:continuationSeparator/>
      </w:r>
    </w:p>
  </w:footnote>
  <w:footnote w:id="1">
    <w:p w:rsidR="00D93129" w:rsidRDefault="00D93129">
      <w:pPr>
        <w:pStyle w:val="FootnoteText"/>
      </w:pPr>
      <w:r>
        <w:rPr>
          <w:rStyle w:val="FootnoteReference"/>
        </w:rPr>
        <w:footnoteRef/>
      </w:r>
      <w:r>
        <w:t xml:space="preserve"> </w:t>
      </w:r>
      <w:proofErr w:type="spellStart"/>
      <w:r>
        <w:rPr>
          <w:color w:val="010101"/>
        </w:rPr>
        <w:t>Beale</w:t>
      </w:r>
      <w:proofErr w:type="spellEnd"/>
      <w:r>
        <w:rPr>
          <w:color w:val="010101"/>
        </w:rPr>
        <w:t xml:space="preserve">, G. K. (1999). </w:t>
      </w:r>
      <w:r>
        <w:rPr>
          <w:i/>
          <w:iCs/>
          <w:color w:val="010101"/>
        </w:rPr>
        <w:t xml:space="preserve">The </w:t>
      </w:r>
      <w:proofErr w:type="spellStart"/>
      <w:r>
        <w:rPr>
          <w:i/>
          <w:iCs/>
          <w:color w:val="010101"/>
        </w:rPr>
        <w:t>B</w:t>
      </w:r>
      <w:r>
        <w:rPr>
          <w:i/>
          <w:iCs/>
          <w:color w:val="010101"/>
        </w:rPr>
        <w:t>ook</w:t>
      </w:r>
      <w:proofErr w:type="spellEnd"/>
      <w:r>
        <w:rPr>
          <w:i/>
          <w:iCs/>
          <w:color w:val="010101"/>
        </w:rPr>
        <w:t xml:space="preserve"> of </w:t>
      </w:r>
      <w:proofErr w:type="spellStart"/>
      <w:r>
        <w:rPr>
          <w:i/>
          <w:iCs/>
          <w:color w:val="010101"/>
        </w:rPr>
        <w:t>Revelation</w:t>
      </w:r>
      <w:proofErr w:type="spellEnd"/>
      <w:r>
        <w:rPr>
          <w:i/>
          <w:iCs/>
          <w:color w:val="010101"/>
        </w:rPr>
        <w:t xml:space="preserve">: </w:t>
      </w:r>
      <w:r>
        <w:rPr>
          <w:i/>
          <w:iCs/>
          <w:color w:val="010101"/>
        </w:rPr>
        <w:t>A</w:t>
      </w:r>
      <w:r>
        <w:rPr>
          <w:i/>
          <w:iCs/>
          <w:color w:val="010101"/>
        </w:rPr>
        <w:t xml:space="preserve"> </w:t>
      </w:r>
      <w:proofErr w:type="spellStart"/>
      <w:r>
        <w:rPr>
          <w:i/>
          <w:iCs/>
          <w:color w:val="010101"/>
        </w:rPr>
        <w:t>C</w:t>
      </w:r>
      <w:r>
        <w:rPr>
          <w:i/>
          <w:iCs/>
          <w:color w:val="010101"/>
        </w:rPr>
        <w:t>ommentary</w:t>
      </w:r>
      <w:proofErr w:type="spellEnd"/>
      <w:r>
        <w:rPr>
          <w:i/>
          <w:iCs/>
          <w:color w:val="010101"/>
        </w:rPr>
        <w:t xml:space="preserve"> </w:t>
      </w:r>
      <w:proofErr w:type="spellStart"/>
      <w:r>
        <w:rPr>
          <w:i/>
          <w:iCs/>
          <w:color w:val="010101"/>
        </w:rPr>
        <w:t>on</w:t>
      </w:r>
      <w:proofErr w:type="spellEnd"/>
      <w:r>
        <w:rPr>
          <w:i/>
          <w:iCs/>
          <w:color w:val="010101"/>
        </w:rPr>
        <w:t xml:space="preserve"> </w:t>
      </w:r>
      <w:proofErr w:type="spellStart"/>
      <w:r>
        <w:rPr>
          <w:i/>
          <w:iCs/>
          <w:color w:val="010101"/>
        </w:rPr>
        <w:t>the</w:t>
      </w:r>
      <w:proofErr w:type="spellEnd"/>
      <w:r>
        <w:rPr>
          <w:i/>
          <w:iCs/>
          <w:color w:val="010101"/>
        </w:rPr>
        <w:t xml:space="preserve"> </w:t>
      </w:r>
      <w:proofErr w:type="spellStart"/>
      <w:r>
        <w:rPr>
          <w:i/>
          <w:iCs/>
          <w:color w:val="010101"/>
        </w:rPr>
        <w:t>Greek</w:t>
      </w:r>
      <w:proofErr w:type="spellEnd"/>
      <w:r>
        <w:rPr>
          <w:i/>
          <w:iCs/>
          <w:color w:val="010101"/>
        </w:rPr>
        <w:t xml:space="preserve"> text</w:t>
      </w:r>
      <w:r>
        <w:rPr>
          <w:color w:val="010101"/>
        </w:rPr>
        <w:t xml:space="preserve"> (p. 463). Grand </w:t>
      </w:r>
      <w:proofErr w:type="spellStart"/>
      <w:r>
        <w:rPr>
          <w:color w:val="010101"/>
        </w:rPr>
        <w:t>Rapids</w:t>
      </w:r>
      <w:proofErr w:type="spellEnd"/>
      <w:r>
        <w:rPr>
          <w:color w:val="010101"/>
        </w:rPr>
        <w:t xml:space="preserve">, MI; </w:t>
      </w:r>
      <w:proofErr w:type="spellStart"/>
      <w:r>
        <w:rPr>
          <w:color w:val="010101"/>
        </w:rPr>
        <w:t>Carlisle</w:t>
      </w:r>
      <w:proofErr w:type="spellEnd"/>
      <w:r>
        <w:rPr>
          <w:color w:val="010101"/>
        </w:rPr>
        <w:t xml:space="preserve">, </w:t>
      </w:r>
      <w:proofErr w:type="spellStart"/>
      <w:r>
        <w:rPr>
          <w:color w:val="010101"/>
        </w:rPr>
        <w:t>Cumbria</w:t>
      </w:r>
      <w:proofErr w:type="spellEnd"/>
      <w:r>
        <w:rPr>
          <w:color w:val="010101"/>
        </w:rPr>
        <w:t>: W</w:t>
      </w:r>
      <w:proofErr w:type="gramStart"/>
      <w:r>
        <w:rPr>
          <w:color w:val="010101"/>
        </w:rPr>
        <w:t>.B.</w:t>
      </w:r>
      <w:proofErr w:type="gramEnd"/>
      <w:r>
        <w:rPr>
          <w:color w:val="010101"/>
        </w:rPr>
        <w:t xml:space="preserve"> </w:t>
      </w:r>
      <w:proofErr w:type="spellStart"/>
      <w:r>
        <w:rPr>
          <w:color w:val="010101"/>
        </w:rPr>
        <w:t>Eerdmans</w:t>
      </w:r>
      <w:proofErr w:type="spellEnd"/>
      <w:r>
        <w:rPr>
          <w:color w:val="010101"/>
        </w:rPr>
        <w:t xml:space="preserve">; </w:t>
      </w:r>
      <w:proofErr w:type="spellStart"/>
      <w:r>
        <w:rPr>
          <w:color w:val="010101"/>
        </w:rPr>
        <w:t>Paternoster</w:t>
      </w:r>
      <w:proofErr w:type="spellEnd"/>
      <w:r>
        <w:rPr>
          <w:color w:val="010101"/>
        </w:rPr>
        <w:t xml:space="preserve"> Press.</w:t>
      </w:r>
    </w:p>
  </w:footnote>
  <w:footnote w:id="2">
    <w:p w:rsidR="00D61A5E" w:rsidRDefault="00D61A5E">
      <w:pPr>
        <w:pStyle w:val="FootnoteText"/>
      </w:pPr>
      <w:r>
        <w:rPr>
          <w:rStyle w:val="FootnoteReference"/>
        </w:rPr>
        <w:footnoteRef/>
      </w:r>
      <w:r>
        <w:t xml:space="preserve"> </w:t>
      </w:r>
      <w:hyperlink r:id="rId1" w:history="1">
        <w:r w:rsidRPr="00AE1CE3">
          <w:rPr>
            <w:rStyle w:val="Hyperlink"/>
            <w:rFonts w:ascii="Segoe UI" w:hAnsi="Segoe UI" w:cs="Segoe UI"/>
            <w:lang w:eastAsia="hu-HU"/>
          </w:rPr>
          <w:t>http://www.ligonier.org/learn/articles/give-me-scotland-or-i-die/</w:t>
        </w:r>
      </w:hyperlink>
      <w:r>
        <w:rPr>
          <w:rFonts w:ascii="Segoe UI" w:hAnsi="Segoe UI" w:cs="Segoe UI"/>
          <w:color w:val="000000"/>
          <w:lang w:eastAsia="hu-HU"/>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92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ligonier.org/learn/articles/give-me-scotland-or-i-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33CAB-5EA7-439C-8AC0-170D5EC80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20353</TotalTime>
  <Pages>4</Pages>
  <Words>1740</Words>
  <Characters>12008</Characters>
  <Application>Microsoft Office Word</Application>
  <DocSecurity>0</DocSecurity>
  <Lines>100</Lines>
  <Paragraphs>27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13721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19</cp:revision>
  <cp:lastPrinted>2011-12-15T15:23:00Z</cp:lastPrinted>
  <dcterms:created xsi:type="dcterms:W3CDTF">2015-04-11T17:06:00Z</dcterms:created>
  <dcterms:modified xsi:type="dcterms:W3CDTF">2015-10-11T05:59:00Z</dcterms:modified>
</cp:coreProperties>
</file>