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502A3E">
        <w:t>X</w:t>
      </w:r>
      <w:r w:rsidR="006C048F" w:rsidRPr="001A5268">
        <w:t>.</w:t>
      </w:r>
    </w:p>
    <w:p w:rsidR="00764315" w:rsidRPr="001A5268" w:rsidRDefault="00CF2D59" w:rsidP="005A69A4">
      <w:pPr>
        <w:pStyle w:val="Heading1"/>
        <w:contextualSpacing/>
        <w:jc w:val="center"/>
        <w:rPr>
          <w:rFonts w:ascii="Constantia" w:hAnsi="Constantia"/>
          <w:b w:val="0"/>
          <w:sz w:val="48"/>
          <w:szCs w:val="44"/>
        </w:rPr>
      </w:pPr>
      <w:r>
        <w:rPr>
          <w:rFonts w:ascii="Constantia" w:hAnsi="Constantia"/>
          <w:b w:val="0"/>
          <w:sz w:val="48"/>
          <w:szCs w:val="44"/>
        </w:rPr>
        <w:t>Krisztus tanúinak bukása és tündöklése</w:t>
      </w:r>
    </w:p>
    <w:p w:rsidR="00764315" w:rsidRPr="001A5268" w:rsidRDefault="007B06C2" w:rsidP="00764315">
      <w:pPr>
        <w:pStyle w:val="Alcm-Igehely"/>
      </w:pPr>
      <w:r w:rsidRPr="001A5268">
        <w:t xml:space="preserve">Jel </w:t>
      </w:r>
      <w:r w:rsidR="00502A3E">
        <w:t>1</w:t>
      </w:r>
      <w:r w:rsidR="00CF2D59">
        <w:t>1</w:t>
      </w:r>
      <w:r w:rsidR="00395B09">
        <w:t>:</w:t>
      </w:r>
      <w:r w:rsidR="00AE460C">
        <w:t>1</w:t>
      </w:r>
      <w:r w:rsidR="00395B09">
        <w:t>–</w:t>
      </w:r>
      <w:r w:rsidR="00CF2D59">
        <w:t>1</w:t>
      </w:r>
      <w:r w:rsidR="005E66B6">
        <w:t>9</w:t>
      </w:r>
    </w:p>
    <w:p w:rsidR="00CE31DA" w:rsidRDefault="004D1202" w:rsidP="008E7D85">
      <w:pPr>
        <w:pStyle w:val="Norml-behzsnlkl"/>
        <w:rPr>
          <w:b w:val="0"/>
        </w:rPr>
      </w:pPr>
      <w:proofErr w:type="spellStart"/>
      <w:r w:rsidRPr="001A5268">
        <w:t>Lekció</w:t>
      </w:r>
      <w:proofErr w:type="spellEnd"/>
      <w:r w:rsidR="00E80B9F" w:rsidRPr="001A5268">
        <w:rPr>
          <w:b w:val="0"/>
        </w:rPr>
        <w:t xml:space="preserve">: </w:t>
      </w:r>
      <w:proofErr w:type="spellStart"/>
      <w:r w:rsidR="00CF2D59">
        <w:rPr>
          <w:b w:val="0"/>
        </w:rPr>
        <w:t>Zak</w:t>
      </w:r>
      <w:proofErr w:type="spellEnd"/>
      <w:r w:rsidR="00CF2D59">
        <w:rPr>
          <w:b w:val="0"/>
        </w:rPr>
        <w:t xml:space="preserve"> 2:1–12; 4:1–14</w:t>
      </w:r>
    </w:p>
    <w:p w:rsidR="00C3593F" w:rsidRPr="00C3593F" w:rsidRDefault="00C3593F" w:rsidP="00C3593F"/>
    <w:p w:rsidR="008D3FB0" w:rsidRPr="004C0B41" w:rsidRDefault="008D3FB0" w:rsidP="008E7D85">
      <w:pPr>
        <w:pStyle w:val="Norml-behzsnlkl"/>
        <w:rPr>
          <w:b w:val="0"/>
          <w:spacing w:val="-2"/>
        </w:rPr>
      </w:pPr>
      <w:r w:rsidRPr="001A5268">
        <w:rPr>
          <w:spacing w:val="-2"/>
        </w:rPr>
        <w:t>F</w:t>
      </w:r>
      <w:r w:rsidR="008E7D85" w:rsidRPr="001A5268">
        <w:rPr>
          <w:spacing w:val="-2"/>
        </w:rPr>
        <w:t>ő gondolat</w:t>
      </w:r>
      <w:r w:rsidRPr="001A5268">
        <w:rPr>
          <w:spacing w:val="-2"/>
        </w:rPr>
        <w:t xml:space="preserve">: </w:t>
      </w:r>
    </w:p>
    <w:p w:rsidR="007758C2" w:rsidRDefault="007758C2" w:rsidP="004A6F5B"/>
    <w:p w:rsidR="00D91619" w:rsidRDefault="00CF2D59" w:rsidP="00C955E6">
      <w:r>
        <w:t>Tabulának nevezték a rómaiak által tanulásra vagy jegyzetkészítésre használt viaszt</w:t>
      </w:r>
      <w:r w:rsidR="00AA4E8D">
        <w:t>áblát. Praktikus volt, hiszen</w:t>
      </w:r>
      <w:r>
        <w:t xml:space="preserve"> </w:t>
      </w:r>
      <w:r w:rsidR="00AA4E8D">
        <w:t>a</w:t>
      </w:r>
      <w:r w:rsidR="002217EB">
        <w:t>mikor a keményvégű toll barázdái már befedték a tábla viaszának puha felszínét, következett a regenerálás: meleg fölött a viaszt felolvasztották, majd elsimították.</w:t>
      </w:r>
      <w:r w:rsidR="00AA4E8D">
        <w:t xml:space="preserve"> (Vagyis mai szemmel rendkívül „zöldnek”, környezettudatosnak tűnik ez az eszköz.) </w:t>
      </w:r>
      <w:r w:rsidR="002217EB">
        <w:t xml:space="preserve"> Ekkor lett a tabulából </w:t>
      </w:r>
      <w:r w:rsidR="002217EB">
        <w:rPr>
          <w:i/>
        </w:rPr>
        <w:t>tabula rasa</w:t>
      </w:r>
      <w:r w:rsidR="002217EB">
        <w:t>, azaz üres (vagy törölt) tábla. Ez a fogalom aztán átvitt értelemben is használatos lett, és így tabula rasa-</w:t>
      </w:r>
      <w:proofErr w:type="gramStart"/>
      <w:r w:rsidR="002217EB">
        <w:t>ként</w:t>
      </w:r>
      <w:proofErr w:type="gramEnd"/>
      <w:r w:rsidR="002217EB">
        <w:t xml:space="preserve"> utalnak arra a személyre, aki előzetes elképzelés nélkül szembesül egy adott dologgal: akinek elméje az adott dolog számára üres, még nincs teleírva.</w:t>
      </w:r>
    </w:p>
    <w:p w:rsidR="002217EB" w:rsidRDefault="002217EB" w:rsidP="00C955E6">
      <w:r>
        <w:t xml:space="preserve">Azt gondolom, hogy a Jelenések 11 kapcsán elménk nem tabula rasa. </w:t>
      </w:r>
      <w:r w:rsidR="00C5310E">
        <w:t xml:space="preserve">Bizonyára </w:t>
      </w:r>
      <w:r w:rsidR="00737262">
        <w:t>hallottunk már magyarázatot, és van elképzelésünk arról, hogyan lehet értelmezni az itt leírtakat. Talán a legtöbb</w:t>
      </w:r>
      <w:r w:rsidR="00100A25">
        <w:t>ször</w:t>
      </w:r>
      <w:r w:rsidR="00737262">
        <w:t xml:space="preserve"> azt a magyarázatot hallottuk, amely a Krisztus visszajövetele előtti utolsó időszakba, a nagy nyomorúságba repít minket. A jeruzsálemi templom újra felépül, ezért szól az isteni parancs Jánoshoz, hogy mérje meg újra a templomot. Majd támad két </w:t>
      </w:r>
      <w:r w:rsidR="00100A25">
        <w:t xml:space="preserve">próféta, két erős követője Krisztusnak, akik Isten üzenetét hirdetik. Sőt, csodákkal erősítik meg prófétálásukat: a vizet vérré változtatják, szájukból kitörő tűzzel pusztítják el ellenségeiket. </w:t>
      </w:r>
      <w:r w:rsidR="000570B9">
        <w:t>Három és fél évig, majd</w:t>
      </w:r>
      <w:r w:rsidR="00100A25">
        <w:t xml:space="preserve"> az Antikrisztus harcba száll ellenük, és megöli őket. A tanúk halálát az egész világ látja – talán a tévé és média közvetítésén keresztül. Ám a gonosz öröme csak ideig való: három és fél nap után feltámadnak, és mennybe mennek Istenükhöz.</w:t>
      </w:r>
    </w:p>
    <w:p w:rsidR="00474C9A" w:rsidRPr="00C35B50" w:rsidRDefault="00474C9A" w:rsidP="00C955E6">
      <w:pPr>
        <w:rPr>
          <w:spacing w:val="-2"/>
        </w:rPr>
      </w:pPr>
      <w:r w:rsidRPr="00C35B50">
        <w:rPr>
          <w:spacing w:val="-2"/>
        </w:rPr>
        <w:t xml:space="preserve">Vajon ez lenne János üzenete? Vagy más jelentést kell tulajdonítanunk a fejezetnek, mint ami egy, az Ószövetség jelképeivel elmondott látomás, és az Egyház földi harcának, szenvedésének és győzelmének üzenetét mondja el? </w:t>
      </w:r>
      <w:r w:rsidR="008B156A" w:rsidRPr="00C35B50">
        <w:rPr>
          <w:spacing w:val="-2"/>
        </w:rPr>
        <w:t xml:space="preserve">A döntés nem könnyű, sőt talán reménytelennek tűnik az egyszerű, bibliaolvasó keresztyénnek. Ám mégis döntenünk kell. Hiszen az a tét, hogy nyerünk-e valami lelki hasznot ebből a fejezetből. Emlékszünk, hogy a Jelenések könyvét azzal az igével bocsátottuk tanulmányozásra, hogy „a teljes Írás Istentől ihletett és hasznos” – vagyis ihletett és hasznos ez a fejezet is! Ha nehezebb is ez a rész, de nem szabad feladnunk a küzdelmet. Imádkoznunk és gondolkoznunk kell, a Szentírás más részeit hívjuk segítségül, hogy megértsük Isten szavát, és lelkünk életet találjon. Nem kevesebb a tét. Éppen ezért nem dőlhetünk hátra, legyen szó a Jelenések 11-ről vagy a reggeli csendességedben álmosan olvasott igéről. </w:t>
      </w:r>
      <w:r w:rsidR="00F3718A" w:rsidRPr="00C35B50">
        <w:rPr>
          <w:spacing w:val="-2"/>
        </w:rPr>
        <w:t>Küzdenünk kell a megértésért.</w:t>
      </w:r>
      <w:r w:rsidR="004E2EB1" w:rsidRPr="00C35B50">
        <w:rPr>
          <w:spacing w:val="-2"/>
        </w:rPr>
        <w:t xml:space="preserve"> </w:t>
      </w:r>
      <w:r w:rsidR="004E2EB1" w:rsidRPr="00C35B50">
        <w:rPr>
          <w:i/>
          <w:spacing w:val="-2"/>
        </w:rPr>
        <w:t xml:space="preserve">„Mert amiket régen megírtak, </w:t>
      </w:r>
      <w:r w:rsidR="004E2EB1" w:rsidRPr="00C35B50">
        <w:rPr>
          <w:b/>
          <w:i/>
          <w:spacing w:val="-2"/>
        </w:rPr>
        <w:t>a mi tanulságunkra írták meg</w:t>
      </w:r>
      <w:r w:rsidR="004E2EB1" w:rsidRPr="00C35B50">
        <w:rPr>
          <w:i/>
          <w:spacing w:val="-2"/>
        </w:rPr>
        <w:t xml:space="preserve">, hogy állhatatossággal és az Írások vigasztalása által </w:t>
      </w:r>
      <w:r w:rsidR="004E2EB1" w:rsidRPr="00C35B50">
        <w:rPr>
          <w:b/>
          <w:i/>
          <w:spacing w:val="-2"/>
        </w:rPr>
        <w:t>reménységünk legyen</w:t>
      </w:r>
      <w:r w:rsidR="004E2EB1" w:rsidRPr="00C35B50">
        <w:rPr>
          <w:i/>
          <w:spacing w:val="-2"/>
        </w:rPr>
        <w:t xml:space="preserve">.” </w:t>
      </w:r>
      <w:r w:rsidR="004E2EB1" w:rsidRPr="00C35B50">
        <w:rPr>
          <w:spacing w:val="-2"/>
        </w:rPr>
        <w:t>(Róm 15:4)</w:t>
      </w:r>
    </w:p>
    <w:p w:rsidR="00CF6112" w:rsidRDefault="00CF6112" w:rsidP="00CF6112">
      <w:pPr>
        <w:pStyle w:val="Heading2"/>
      </w:pPr>
      <w:r>
        <w:t>Értelmezési alapelvek</w:t>
      </w:r>
    </w:p>
    <w:p w:rsidR="00F3718A" w:rsidRDefault="00CF6112" w:rsidP="00C955E6">
      <w:r>
        <w:t xml:space="preserve">Hogyan tovább tehát? Szeretnék feleleveníteni pár értelmezési alapelvet, amit a Jelenések tanulmányozásának elején fektettünk le. Az </w:t>
      </w:r>
      <w:r w:rsidR="0034180A">
        <w:t>első a jelképes értelmezés. A Jelenések könyve egy apokaliptikus írás, amely a képzeletünket veszi célba. Lelki valóságokról, a jó és gonosz küzdelméről beszél érzékletes képekben. Éppen ezért képeinek nem merev, szó szerinti értelmet tulajdonítunk. Hanem felkutatjuk képeinek bibliai jelentését, és annak megfelelően értelmezzük azokat.</w:t>
      </w:r>
    </w:p>
    <w:p w:rsidR="0034180A" w:rsidRDefault="0034180A" w:rsidP="00C955E6">
      <w:r>
        <w:t xml:space="preserve">Ezen a ponton szokott jönni egy ellenvetés: </w:t>
      </w:r>
      <w:r w:rsidR="003C5D3A">
        <w:t xml:space="preserve">de a Biblia más részeit szó szerint értelmezzük! Hol a határa a jelképes értelmezésnek? Ha a Jelenéseket jelképesen értelmezzük, akkor mi állhat útjában, </w:t>
      </w:r>
      <w:r w:rsidR="003C5D3A">
        <w:lastRenderedPageBreak/>
        <w:t>hogy Krisztus csodáinak vagy a szűztől való születésnek szó szerintiségét tagadjuk? N</w:t>
      </w:r>
      <w:r>
        <w:t xml:space="preserve">em </w:t>
      </w:r>
      <w:r w:rsidR="003C5D3A">
        <w:t>fog ez minket liberálisokká tenni?</w:t>
      </w:r>
    </w:p>
    <w:p w:rsidR="003C5D3A" w:rsidRDefault="003C5D3A" w:rsidP="00C955E6">
      <w:r>
        <w:t xml:space="preserve">E kérdések mögött jóindulatú, a Szentírás tévedhetetlenségét védő aggodalom rejlik. Azonban ez az aggodalom alaptalan, mert teljesen félreérti a jelképes értelmezést. A jelképes értelmezés nem egy átfogó alapelv, amit a Szentírás teljességére alkalmazunk válogatás nélkül. </w:t>
      </w:r>
      <w:r w:rsidR="00292BAA">
        <w:t>Hanem a Jelenések könyvét azért értelmezzük főként jelképesen, mert a könyv maga erre szólít fel, amikor közli velünk, hogy e könyvben látomásokkal találkozunk, aminek mögöttes jelentése van. Pontosan azért értelmezzük jelképesen ezt a könyvet, mert szó szerint vesszük a könyv szimbolikus műfaját. De ez a jelképesség a Jelenések sajátja, és nem alkalmazzuk a Páli levelekre.</w:t>
      </w:r>
      <w:r w:rsidR="00292BAA">
        <w:rPr>
          <w:rStyle w:val="FootnoteReference"/>
        </w:rPr>
        <w:footnoteReference w:id="1"/>
      </w:r>
    </w:p>
    <w:p w:rsidR="00292BAA" w:rsidRDefault="00292BAA" w:rsidP="00C955E6">
      <w:r>
        <w:t xml:space="preserve">Egy másik alapelvünk pedig az volt, hogy a Jelenések könyve </w:t>
      </w:r>
      <w:r>
        <w:rPr>
          <w:i/>
        </w:rPr>
        <w:t xml:space="preserve">minden </w:t>
      </w:r>
      <w:r>
        <w:t>keresztyénhez szól. Ez a könyv egyben levél, a hét kis-ázsiai gyüleke</w:t>
      </w:r>
      <w:r w:rsidR="00CC4DFA">
        <w:t>zetnek íródott.</w:t>
      </w:r>
      <w:r w:rsidR="004E2EB1">
        <w:t xml:space="preserve"> Az ő helyzetükre vonatkozott.</w:t>
      </w:r>
      <w:r w:rsidR="00E31B0A">
        <w:t xml:space="preserve"> </w:t>
      </w:r>
      <w:r w:rsidR="00CC4DFA">
        <w:t xml:space="preserve">De szól nekünk is, hiszen Isten megőrizte a Bibliában számunkra. Ám elsősorban mégis nekik </w:t>
      </w:r>
      <w:r w:rsidR="00E31B0A">
        <w:t>íródott.</w:t>
      </w:r>
      <w:r w:rsidR="00CC4DFA">
        <w:t xml:space="preserve"> Éppen ezért a könyv nem jelentheti számunkra azt, amit soha nem jelentett nekik.</w:t>
      </w:r>
    </w:p>
    <w:p w:rsidR="00E31B0A" w:rsidRDefault="004E2EB1" w:rsidP="004E2EB1">
      <w:pPr>
        <w:pStyle w:val="Heading2"/>
      </w:pPr>
      <w:r>
        <w:t xml:space="preserve">A templom, a tanúk és </w:t>
      </w:r>
      <w:r w:rsidR="00AA4E8D">
        <w:t>a negyvenkét</w:t>
      </w:r>
      <w:r>
        <w:t xml:space="preserve"> </w:t>
      </w:r>
      <w:r w:rsidR="00AA4E8D">
        <w:t>hónap</w:t>
      </w:r>
    </w:p>
    <w:p w:rsidR="004E2EB1" w:rsidRDefault="00AA4E8D" w:rsidP="004E2EB1">
      <w:r>
        <w:t>A fenti alapelveket kell alkalmaznunk a 11. fejezetre is. Három fő eleme van a látomásnak, amit meg kell fejtenünk a helyes megértéshez: mit jelent a templom? Ki a két tanú? Milyen jelentősége van a negyvenkét hónapnak?</w:t>
      </w:r>
    </w:p>
    <w:p w:rsidR="00AA4E8D" w:rsidRDefault="00AA4E8D" w:rsidP="00AA4E8D">
      <w:pPr>
        <w:pStyle w:val="Norml-behzsnlkl"/>
        <w:rPr>
          <w:b w:val="0"/>
        </w:rPr>
      </w:pPr>
      <w:r>
        <w:t>A templom.</w:t>
      </w:r>
      <w:r w:rsidR="00AA6867">
        <w:t xml:space="preserve"> </w:t>
      </w:r>
      <w:r w:rsidR="00AA6867" w:rsidRPr="00AA6867">
        <w:rPr>
          <w:b w:val="0"/>
        </w:rPr>
        <w:t>Kez</w:t>
      </w:r>
      <w:r w:rsidR="00AA6867">
        <w:rPr>
          <w:b w:val="0"/>
        </w:rPr>
        <w:t xml:space="preserve">djük először a templommal. </w:t>
      </w:r>
      <w:r w:rsidR="00AA6867">
        <w:rPr>
          <w:b w:val="0"/>
          <w:i/>
        </w:rPr>
        <w:t>„</w:t>
      </w:r>
      <w:r w:rsidR="00AA6867" w:rsidRPr="00AA6867">
        <w:rPr>
          <w:b w:val="0"/>
          <w:i/>
          <w:vertAlign w:val="superscript"/>
        </w:rPr>
        <w:t>1</w:t>
      </w:r>
      <w:r w:rsidR="00AA6867" w:rsidRPr="00AA6867">
        <w:rPr>
          <w:b w:val="0"/>
          <w:i/>
        </w:rPr>
        <w:t>Ekkor egy mérővesszőhöz hasonló botot adtak nekem, és azt mondták: Kelj fel, és mérd meg az Isten templomát és az oltárt és azokat, akik abban imádkoznak</w:t>
      </w:r>
      <w:r w:rsidR="00AA6867">
        <w:rPr>
          <w:b w:val="0"/>
          <w:i/>
        </w:rPr>
        <w:t xml:space="preserve">!” </w:t>
      </w:r>
      <w:r w:rsidR="00AA6867">
        <w:rPr>
          <w:b w:val="0"/>
        </w:rPr>
        <w:t xml:space="preserve">Adná magát az értelmezés, hogy egy konkrét templom épületére gondoljunk – de melyikre? A Jelenések megírásakor Jeruzsálemet már lerombolták a templommal együtt. Akkor talán egy jövőben felépülő templomra gondolna János? De az egész könyvben erre nincs különösebb utalás, sehol nem említi nyíltan, hogy erre kellene várnunk. </w:t>
      </w:r>
    </w:p>
    <w:p w:rsidR="00AA6867" w:rsidRDefault="00F87092" w:rsidP="00AA6867">
      <w:r>
        <w:t xml:space="preserve">Segít tisztábban látni a jelentést, ha figyelembe vesszük, hogy a Jelenések könyvében a templom </w:t>
      </w:r>
      <w:r>
        <w:rPr>
          <w:i/>
        </w:rPr>
        <w:t xml:space="preserve">sohasem jelent fizikai épületet. </w:t>
      </w:r>
      <w:r>
        <w:t xml:space="preserve">Amikor Jézus áldást ígér a </w:t>
      </w:r>
      <w:proofErr w:type="spellStart"/>
      <w:r>
        <w:t>filadelfiai</w:t>
      </w:r>
      <w:proofErr w:type="spellEnd"/>
      <w:r>
        <w:t xml:space="preserve"> gyülekezetnek, azt mondja, hogy „ki győz, oszloppá teszem az én Istenem templomában” (3:12), és ezzel nyilván a mennyei dicsőségre utal jelképesen. Ugyanezt erősíti meg a 11:19 is: </w:t>
      </w:r>
      <w:r>
        <w:rPr>
          <w:i/>
        </w:rPr>
        <w:t xml:space="preserve">„És megnyílt az Isten temploma a mennyben.” </w:t>
      </w:r>
      <w:r>
        <w:t>Végig a többi 14 előfordulásnál</w:t>
      </w:r>
      <w:r>
        <w:rPr>
          <w:rStyle w:val="FootnoteReference"/>
        </w:rPr>
        <w:footnoteReference w:id="2"/>
      </w:r>
      <w:r>
        <w:t xml:space="preserve"> a templom mindig lelki értelmet kap – vajon ennél a két versnél más lenne a helyzet?</w:t>
      </w:r>
      <w:r w:rsidR="00E44767">
        <w:t xml:space="preserve"> (És ez esetben mit jelent az, hogy János megméri a templomban imádkozókat?)</w:t>
      </w:r>
    </w:p>
    <w:p w:rsidR="00F87092" w:rsidRDefault="00F87092" w:rsidP="00AA6867">
      <w:r>
        <w:t>Vegyük ehhez hozzá azt is, hogy a Jelenések nagyon gyakran használ „építészeti” nyelvezetet Isten népének leírására. A 21. fejezetben az új Jeruzsálemről olvasunk, amit úgy látunk meg, mint egy várost, óriási falakkal, tizenkét kapukkal, utcákkal. Mégis a 21:9–10 azt mondja róla, hogy az új Jeruzsálem valójában a menyasszony, a Bárány felesége</w:t>
      </w:r>
      <w:r w:rsidR="00DB1AF1">
        <w:t xml:space="preserve">, amely alászáll az égből, mint a férje számára felékesített menyasszony (21:2)! Vagy a 13:6 a fenevadról azt mondja: </w:t>
      </w:r>
      <w:r w:rsidR="00C86C2A">
        <w:rPr>
          <w:i/>
        </w:rPr>
        <w:t>„káromolja az ő [Isten] nevét és sátorát, azokat,</w:t>
      </w:r>
      <w:r w:rsidR="00C86C2A">
        <w:rPr>
          <w:rStyle w:val="FootnoteReference"/>
          <w:i/>
        </w:rPr>
        <w:footnoteReference w:id="3"/>
      </w:r>
      <w:r w:rsidR="00C86C2A">
        <w:rPr>
          <w:i/>
        </w:rPr>
        <w:t xml:space="preserve"> akik a mennyben laknak.” </w:t>
      </w:r>
      <w:r w:rsidR="00C86C2A">
        <w:t>(új ford.) Itt ismét csak Isten népére úgy hivatkozik, mint sátorra. Vagyis a Jelenések könyve más helyeken a templom alatt Isten népének, a megváltottaknak közösségét érti – és ez az értelmezés összhangban van az Újszövetség más tanítói könyveivel,</w:t>
      </w:r>
      <w:r w:rsidR="00C86C2A">
        <w:rPr>
          <w:rStyle w:val="FootnoteReference"/>
        </w:rPr>
        <w:footnoteReference w:id="4"/>
      </w:r>
      <w:r w:rsidR="00C86C2A">
        <w:t xml:space="preserve"> ahol a hívők Isten templomának vannak nevezve.</w:t>
      </w:r>
    </w:p>
    <w:p w:rsidR="00F477EE" w:rsidRDefault="00F477EE" w:rsidP="00AA6867">
      <w:r>
        <w:t xml:space="preserve">Ezt a gondolatot erősíti meg a folytatás is: </w:t>
      </w:r>
      <w:r>
        <w:rPr>
          <w:i/>
        </w:rPr>
        <w:t>„</w:t>
      </w:r>
      <w:r w:rsidRPr="00F477EE">
        <w:rPr>
          <w:i/>
          <w:vertAlign w:val="superscript"/>
        </w:rPr>
        <w:t>2</w:t>
      </w:r>
      <w:r w:rsidRPr="00F477EE">
        <w:rPr>
          <w:i/>
        </w:rPr>
        <w:t>de a tornácot, amely a templomon kívül van, hagyd ki, és ne mérd meg, mert az a pogányoknak adatott, és a szent várost tapodják negyvenkét hónapig.</w:t>
      </w:r>
      <w:r>
        <w:rPr>
          <w:i/>
        </w:rPr>
        <w:t xml:space="preserve">” </w:t>
      </w:r>
      <w:r>
        <w:t xml:space="preserve">E részben a templom tornáca egyenlővé van téve a szent várossal, amit a pogányok tapodnak 42 hónapig. Azonban a Jelenések más helyén a szent város ismét csak Isten népére vonatkozik: </w:t>
      </w:r>
      <w:r>
        <w:rPr>
          <w:i/>
        </w:rPr>
        <w:t>„</w:t>
      </w:r>
      <w:r w:rsidRPr="00F477EE">
        <w:rPr>
          <w:i/>
          <w:vertAlign w:val="superscript"/>
        </w:rPr>
        <w:t>9</w:t>
      </w:r>
      <w:r w:rsidRPr="00F477EE">
        <w:rPr>
          <w:i/>
        </w:rPr>
        <w:t>Jöjj, megmutatom neked a menyasszonyt, a Bárány feleségét.</w:t>
      </w:r>
      <w:r>
        <w:rPr>
          <w:i/>
        </w:rPr>
        <w:t xml:space="preserve"> </w:t>
      </w:r>
      <w:r w:rsidRPr="00F477EE">
        <w:rPr>
          <w:i/>
          <w:vertAlign w:val="superscript"/>
        </w:rPr>
        <w:t>10</w:t>
      </w:r>
      <w:r>
        <w:rPr>
          <w:i/>
        </w:rPr>
        <w:t>…</w:t>
      </w:r>
      <w:r w:rsidRPr="00F477EE">
        <w:rPr>
          <w:i/>
        </w:rPr>
        <w:t xml:space="preserve"> és megmutatta nekem a szent várost, Jeruzsálemet, amely a </w:t>
      </w:r>
      <w:r w:rsidRPr="00F477EE">
        <w:rPr>
          <w:i/>
        </w:rPr>
        <w:lastRenderedPageBreak/>
        <w:t>mennyből, Istentől szállt alá.</w:t>
      </w:r>
      <w:r>
        <w:rPr>
          <w:i/>
        </w:rPr>
        <w:t xml:space="preserve"> ” </w:t>
      </w:r>
      <w:r>
        <w:t>A szent város a Jelenésekben nem egy fizikai hely, hanem Isten megváltott gyermekeinek közössége, a Bárány felesége, az egyház</w:t>
      </w:r>
      <w:r w:rsidR="00E44767">
        <w:t>.</w:t>
      </w:r>
      <w:r w:rsidR="00E44767">
        <w:rPr>
          <w:rStyle w:val="FootnoteReference"/>
        </w:rPr>
        <w:footnoteReference w:id="5"/>
      </w:r>
    </w:p>
    <w:p w:rsidR="00E44767" w:rsidRPr="00C35B50" w:rsidRDefault="00E44767" w:rsidP="00AA6867">
      <w:pPr>
        <w:rPr>
          <w:spacing w:val="-4"/>
        </w:rPr>
      </w:pPr>
      <w:r w:rsidRPr="00C35B50">
        <w:rPr>
          <w:spacing w:val="-4"/>
        </w:rPr>
        <w:t>Egy szó, mint száz: a Jelenések következetes összefüggésében a templom nem fizikai, hanem lelki épület: Isten egyháza. Amely részben védelmet élvez Istentől, hiszen a szentélyt és az oltárt a pogányok nem bántják. Másrészt viszont szenved az istentelenek támadásától, hiszen a tornác a pogányok kezére adatik.</w:t>
      </w:r>
    </w:p>
    <w:p w:rsidR="00AA4E8D" w:rsidRDefault="00AA4E8D" w:rsidP="00AA4E8D">
      <w:pPr>
        <w:pStyle w:val="Norml-behzsnlkl"/>
        <w:rPr>
          <w:b w:val="0"/>
        </w:rPr>
      </w:pPr>
      <w:r>
        <w:t>A két tanú.</w:t>
      </w:r>
      <w:r w:rsidR="00E44767">
        <w:t xml:space="preserve"> </w:t>
      </w:r>
      <w:r w:rsidR="00E44767">
        <w:rPr>
          <w:b w:val="0"/>
        </w:rPr>
        <w:t>A templom után következik a két tanú:</w:t>
      </w:r>
    </w:p>
    <w:p w:rsidR="00E44767" w:rsidRPr="007F7066" w:rsidRDefault="00E44767" w:rsidP="00E44767">
      <w:pPr>
        <w:pStyle w:val="Quote"/>
        <w:rPr>
          <w:spacing w:val="-4"/>
        </w:rPr>
      </w:pPr>
      <w:r w:rsidRPr="007F7066">
        <w:rPr>
          <w:spacing w:val="-4"/>
        </w:rPr>
        <w:t>„</w:t>
      </w:r>
      <w:r w:rsidRPr="007F7066">
        <w:rPr>
          <w:spacing w:val="-4"/>
          <w:vertAlign w:val="superscript"/>
        </w:rPr>
        <w:t>3</w:t>
      </w:r>
      <w:r w:rsidRPr="007F7066">
        <w:rPr>
          <w:spacing w:val="-4"/>
        </w:rPr>
        <w:t xml:space="preserve">Az én két tanúmnak pedig megadom, hogy zsákruhába öltözve prófétáljanak ezerkétszázhatvan napig. </w:t>
      </w:r>
      <w:r w:rsidRPr="007F7066">
        <w:rPr>
          <w:spacing w:val="-4"/>
          <w:vertAlign w:val="superscript"/>
        </w:rPr>
        <w:t>4</w:t>
      </w:r>
      <w:r w:rsidRPr="007F7066">
        <w:rPr>
          <w:spacing w:val="-4"/>
        </w:rPr>
        <w:t xml:space="preserve">Ezek az a két olajfa és a két gyertyatartó, amelyek a föld Ura előtt állnak, </w:t>
      </w:r>
      <w:proofErr w:type="gramStart"/>
      <w:r w:rsidRPr="007F7066">
        <w:rPr>
          <w:spacing w:val="-4"/>
          <w:vertAlign w:val="superscript"/>
        </w:rPr>
        <w:t>5</w:t>
      </w:r>
      <w:r w:rsidRPr="007F7066">
        <w:rPr>
          <w:spacing w:val="-4"/>
        </w:rPr>
        <w:t>és</w:t>
      </w:r>
      <w:proofErr w:type="gramEnd"/>
      <w:r w:rsidRPr="007F7066">
        <w:rPr>
          <w:spacing w:val="-4"/>
        </w:rPr>
        <w:t xml:space="preserve"> ha valaki ártani akar nekik, tűz jön ki a szájukból, és megemészti ellenségeiket, és ha valaki ártani akar nekik, annak így kell megöletnie. </w:t>
      </w:r>
      <w:r w:rsidRPr="007F7066">
        <w:rPr>
          <w:spacing w:val="-4"/>
          <w:vertAlign w:val="superscript"/>
        </w:rPr>
        <w:t>6</w:t>
      </w:r>
      <w:r w:rsidRPr="007F7066">
        <w:rPr>
          <w:spacing w:val="-4"/>
        </w:rPr>
        <w:t>Nekik hatalmuk van arra, hogy bezárják az eget, hogy prófétálásuk idején ne legyen eső, és hatalmuk van arra, hogy a vizeket vérré változtassák, és megverjék a földet bármilyen csapással, ahányszor csak akarják.”</w:t>
      </w:r>
    </w:p>
    <w:p w:rsidR="00E44767" w:rsidRDefault="00FD7F7E" w:rsidP="00E44767">
      <w:r>
        <w:t>E versek értelmezése a templomnál is bonyolultabb. Ki lehet ez a két férfi, aki Isten üzenetét prédikálja, csodálatos jeleket tesz, hasonlót Mózeshez és Illéshez, a két kiemelkedő ószövetségi prófétához? Megjelenésük és cselekedeteik nem hasonlítanak senkihez. Ezek szerint majd a jövőben valamikor fog megjelenni Isten e két tanúja?</w:t>
      </w:r>
    </w:p>
    <w:p w:rsidR="00FD7F7E" w:rsidRDefault="00E761BB" w:rsidP="00E44767">
      <w:r>
        <w:t xml:space="preserve">Azonban legyünk itt is óvatosak az értelmezéssel: a templom esetében </w:t>
      </w:r>
      <w:r w:rsidR="003F4886">
        <w:t xml:space="preserve">láthattuk a jelképes értelmezést, tehát is meg kell fontolnunk. Ebben erősít </w:t>
      </w:r>
      <w:r w:rsidR="007E040C">
        <w:t>a 11:4 is</w:t>
      </w:r>
      <w:r w:rsidR="003F4886">
        <w:t xml:space="preserve">: „ezek az a két olajfa és a két gyertyatartó, amelyek a föld Ura előtt állnak.” Ezt a mondatot senki se venné szó szerint! </w:t>
      </w:r>
      <w:r w:rsidR="00C00CC3">
        <w:t xml:space="preserve">A lámpatartó kifejezéssel már találkoztunk a Jelenések legelején, ahol a gyülekezetek jelképe volt – akik a lámpatartóhoz hasonlóan világítanak a sötétségben. </w:t>
      </w:r>
      <w:r w:rsidR="007E040C">
        <w:t xml:space="preserve">E két tanú feladata szintén </w:t>
      </w:r>
      <w:r w:rsidR="00C00CC3">
        <w:t xml:space="preserve">a világítás, azonban társul </w:t>
      </w:r>
      <w:r w:rsidR="007E040C">
        <w:t xml:space="preserve">mellé </w:t>
      </w:r>
      <w:r w:rsidR="00C00CC3">
        <w:t>egy másik jelentés. A gyertyatartó és az olajfa a Zakariás 4 próféciájában fordul elő.</w:t>
      </w:r>
      <w:r w:rsidR="00C00CC3">
        <w:rPr>
          <w:rStyle w:val="FootnoteReference"/>
        </w:rPr>
        <w:footnoteReference w:id="6"/>
      </w:r>
      <w:r w:rsidR="00C00CC3">
        <w:t xml:space="preserve"> A központi üzenete a látomásnak az, hogyan kap erőt Isten népe a feladatának elvégzéséhez: </w:t>
      </w:r>
      <w:r w:rsidR="00C00CC3" w:rsidRPr="00C00CC3">
        <w:rPr>
          <w:i/>
        </w:rPr>
        <w:t xml:space="preserve">„Nem erővel, sem hatalommal, hanem az én lelkemmel! – ezt mondja a Seregek </w:t>
      </w:r>
      <w:proofErr w:type="spellStart"/>
      <w:r w:rsidR="00C00CC3" w:rsidRPr="00C00CC3">
        <w:rPr>
          <w:i/>
        </w:rPr>
        <w:t>URa</w:t>
      </w:r>
      <w:proofErr w:type="spellEnd"/>
      <w:r w:rsidR="00C00CC3" w:rsidRPr="00C00CC3">
        <w:rPr>
          <w:i/>
        </w:rPr>
        <w:t>.”</w:t>
      </w:r>
      <w:r w:rsidR="00C00CC3">
        <w:rPr>
          <w:i/>
        </w:rPr>
        <w:t xml:space="preserve"> </w:t>
      </w:r>
      <w:r w:rsidR="00C00CC3">
        <w:t>(</w:t>
      </w:r>
      <w:proofErr w:type="spellStart"/>
      <w:r w:rsidR="00C00CC3">
        <w:t>Zak</w:t>
      </w:r>
      <w:proofErr w:type="spellEnd"/>
      <w:r w:rsidR="00C00CC3">
        <w:t xml:space="preserve"> 4:6)</w:t>
      </w:r>
      <w:r w:rsidR="007E040C">
        <w:t xml:space="preserve"> E két tanúja Istennek a Szentlélek által végzi a munkáját, és lesz eredményes.</w:t>
      </w:r>
    </w:p>
    <w:p w:rsidR="007E040C" w:rsidRPr="007F7066" w:rsidRDefault="007E040C" w:rsidP="00E44767">
      <w:r>
        <w:t xml:space="preserve">De ki ez a két tanú? Több dolog mutat arra, hogy a két tanú szintén az egyház jelképe. </w:t>
      </w:r>
      <w:r w:rsidR="00CC3889">
        <w:rPr>
          <w:i/>
        </w:rPr>
        <w:t xml:space="preserve">Egyrészt </w:t>
      </w:r>
      <w:r w:rsidR="00CC3889">
        <w:t>a 11:7-ben a két tanúról olvassuk, hogy a fenevad hadakozik ellenük és legyőzi őket. Majd a 13:7-ben a szentekről olvassuk ugyanezeket a szavakat („szentek ellen hadakozzék és legyőzze őket”).</w:t>
      </w:r>
      <w:r w:rsidR="007F7066">
        <w:t xml:space="preserve"> A fenevad a két tanú, azaz a szentek ellen támad.</w:t>
      </w:r>
      <w:r w:rsidR="00CC3889">
        <w:t xml:space="preserve"> </w:t>
      </w:r>
      <w:r w:rsidR="00CC3889">
        <w:rPr>
          <w:i/>
        </w:rPr>
        <w:t>Másrészt</w:t>
      </w:r>
      <w:r w:rsidR="00CC3889">
        <w:t xml:space="preserve"> a fenevad tombolása a szentek ellen 42 hónap,</w:t>
      </w:r>
      <w:r w:rsidR="007F7066">
        <w:t xml:space="preserve"> ami ugyanannyi, amennyi ideig a 11:2-ben a tornácot pogányok tapodják, vagy ameddig Isten két tanúja bizonyságot tesz. Úgy tűnik tehát, hogy szolgálatuk ideje is megegyezik mindkét helyen. </w:t>
      </w:r>
      <w:r w:rsidR="007F7066">
        <w:rPr>
          <w:i/>
        </w:rPr>
        <w:t xml:space="preserve">Harmadrészt </w:t>
      </w:r>
      <w:r w:rsidR="007F7066">
        <w:t xml:space="preserve">pedig a 11:9–13-ban azt olvassuk, hogy </w:t>
      </w:r>
      <w:r w:rsidR="007F7066">
        <w:rPr>
          <w:i/>
        </w:rPr>
        <w:t xml:space="preserve">az egész világ </w:t>
      </w:r>
      <w:r w:rsidR="007F7066">
        <w:t xml:space="preserve">látja majd a két tanú pusztulását. Vagyis úgy tűnik, hogy szolgálatuk nem csak egy helyre, városra, országra korlátozódik, hanem az egész világra – mint ahogy Isten egyháza is szét van szórva e világban, hogy annak minden részén hirdesse az evangéliumot. </w:t>
      </w:r>
      <w:r w:rsidR="007F7066">
        <w:rPr>
          <w:i/>
        </w:rPr>
        <w:t xml:space="preserve">Végül </w:t>
      </w:r>
      <w:r w:rsidR="007F7066">
        <w:t>pedig a következő, 12. fejezetben szintén egy személy, az asszony testesíti meg az egyházat. Ha ott jelképezheti egy asszony Isten népét, itt miért ne jelképezhetné két férfi?</w:t>
      </w:r>
    </w:p>
    <w:p w:rsidR="007F7066" w:rsidRPr="007F7066" w:rsidRDefault="007F7066" w:rsidP="00E44767">
      <w:r>
        <w:t>Nagyon valószínű tehát, hogy nem két jövőbeli csodatevő tanúról olvasunk itt. Hanem e két ószövetségi próféta-alak jelképezi azt, amire az egyházat Isten elhívta: hogy tegyen bizonyságot Uráról a Szentlélek erejével, és vállalja érte a szenvedést, akár a halált is.</w:t>
      </w:r>
    </w:p>
    <w:p w:rsidR="00AA4E8D" w:rsidRDefault="00AA4E8D" w:rsidP="00AA4E8D">
      <w:pPr>
        <w:pStyle w:val="Norml-behzsnlkl"/>
        <w:rPr>
          <w:b w:val="0"/>
        </w:rPr>
      </w:pPr>
      <w:r>
        <w:t xml:space="preserve">A negyvenkét hónap. </w:t>
      </w:r>
      <w:r w:rsidR="00EE651F">
        <w:rPr>
          <w:b w:val="0"/>
        </w:rPr>
        <w:t xml:space="preserve">Addig jutottunk tehát, hogy a templom ugyanúgy, mint a két próféta-tanú Istennek e földön Krisztusáért harcoló egyházát mutatják be. De mit kezdünk </w:t>
      </w:r>
      <w:r w:rsidR="00E10CFB">
        <w:rPr>
          <w:b w:val="0"/>
        </w:rPr>
        <w:t>a</w:t>
      </w:r>
      <w:r w:rsidR="00997642">
        <w:rPr>
          <w:b w:val="0"/>
        </w:rPr>
        <w:t xml:space="preserve"> felbukkanó időtartamokkal: 1260 nap és negyvenkét hónap? </w:t>
      </w:r>
    </w:p>
    <w:p w:rsidR="00997642" w:rsidRPr="00997642" w:rsidRDefault="00997642" w:rsidP="00997642">
      <w:r>
        <w:lastRenderedPageBreak/>
        <w:t>Látni kell, hogy a számok ugyanarra a periódusra mutatnak: három és fél év az negyvenkét hónap, ami pedig 30 napos hónappal számolva pont 1260 nap. Nagy valószínűség szerint ez az időtartam Dániel könyvéből származik, ahol három és fél év jelöli az Isten népe nyomorgatásának idejét.</w:t>
      </w:r>
      <w:r>
        <w:rPr>
          <w:rStyle w:val="FootnoteReference"/>
        </w:rPr>
        <w:footnoteReference w:id="7"/>
      </w:r>
      <w:r>
        <w:t xml:space="preserve"> A gondolat itt is ugyanez: a 3,5 év/42 hónap/1260 nap az a jelképes</w:t>
      </w:r>
      <w:r>
        <w:rPr>
          <w:rStyle w:val="FootnoteReference"/>
        </w:rPr>
        <w:footnoteReference w:id="8"/>
      </w:r>
      <w:r>
        <w:t xml:space="preserve"> idő, amíg Isten népe tapasztalja a világ támadását és próbálja hirdetni Krisztust a nehézségek ellenére is. </w:t>
      </w:r>
    </w:p>
    <w:p w:rsidR="0034419A" w:rsidRDefault="0034419A" w:rsidP="0034419A">
      <w:pPr>
        <w:pStyle w:val="Heading2"/>
      </w:pPr>
      <w:r>
        <w:t xml:space="preserve">Isten üzenete mindebből számunkra </w:t>
      </w:r>
    </w:p>
    <w:p w:rsidR="00EE2025" w:rsidRDefault="00EE2025" w:rsidP="00EE2025">
      <w:r>
        <w:t>Mindeddig próbáltuk megfejteni a látomás főbb összetevőit. Ám a vizsgálódásunk nemcsak teológiai, hanem gyakorlati is: mindezek után mi Isten üzenete mindebből számunkra? Igyekeztem négy főbb gondolat köré csoportosítani a fejezet tanítását.</w:t>
      </w:r>
    </w:p>
    <w:p w:rsidR="00EE2025" w:rsidRDefault="00EE2025" w:rsidP="00EE2025">
      <w:pPr>
        <w:pStyle w:val="Norml-behzsnlkl"/>
        <w:rPr>
          <w:b w:val="0"/>
        </w:rPr>
      </w:pPr>
      <w:r>
        <w:t>Egyház: védett és védtelen.</w:t>
      </w:r>
      <w:r w:rsidR="00807174">
        <w:t xml:space="preserve"> </w:t>
      </w:r>
      <w:r w:rsidR="0039013D">
        <w:rPr>
          <w:b w:val="0"/>
        </w:rPr>
        <w:t xml:space="preserve">Érdemes volt végigküzdeni magunkat ezen a fejezeten, hiszen így feltárul előttünk Isten részletes üzenete az egyházról. </w:t>
      </w:r>
      <w:r w:rsidR="008364DF">
        <w:rPr>
          <w:b w:val="0"/>
        </w:rPr>
        <w:t xml:space="preserve">Isten először is védelmet ígér az ő népének. János megmérte a szentélyt és a benne imádkozókat, ezzel jelezve, hogy a templom legbensőbb része isteni védelem alatt áll. A két tanú is érinthetetlen volt mindaddig, amíg bizonyságtételüket be nem végezték. Ugyanakkor ez nem jelent </w:t>
      </w:r>
      <w:r w:rsidR="008364DF">
        <w:rPr>
          <w:b w:val="0"/>
          <w:i/>
        </w:rPr>
        <w:t xml:space="preserve">minden </w:t>
      </w:r>
      <w:r w:rsidR="008364DF">
        <w:rPr>
          <w:b w:val="0"/>
        </w:rPr>
        <w:t xml:space="preserve">baj alóli védelmet. Isten megengedi, hogy a templom tornácát tapossák, mint ahogy megengedte, hogy két tanúját is megöljék. Minden keresztyén kap nyomorúságot, sokat bántanak is – azonban Isten megőriz minket e nyomorúságokban. Tapasztaljuk a sátán fullánkját, de az ördög sosem lesz képes arra, hogy Isten tervét megakadályozza, vagy tőle minket elszakítson. </w:t>
      </w:r>
    </w:p>
    <w:p w:rsidR="008364DF" w:rsidRPr="002546FC" w:rsidRDefault="008364DF" w:rsidP="008364DF">
      <w:pPr>
        <w:rPr>
          <w:iCs/>
          <w:color w:val="000000"/>
          <w:spacing w:val="-2"/>
        </w:rPr>
      </w:pPr>
      <w:r>
        <w:t xml:space="preserve">Egy történet talán jobban elmond mindent. </w:t>
      </w:r>
      <w:proofErr w:type="spellStart"/>
      <w:r w:rsidRPr="002546FC">
        <w:rPr>
          <w:iCs/>
          <w:color w:val="000000"/>
          <w:spacing w:val="-2"/>
        </w:rPr>
        <w:t>Sergei</w:t>
      </w:r>
      <w:proofErr w:type="spellEnd"/>
      <w:r w:rsidRPr="002546FC">
        <w:rPr>
          <w:iCs/>
          <w:color w:val="000000"/>
          <w:spacing w:val="-2"/>
        </w:rPr>
        <w:t xml:space="preserve"> </w:t>
      </w:r>
      <w:proofErr w:type="spellStart"/>
      <w:r w:rsidRPr="002546FC">
        <w:rPr>
          <w:iCs/>
          <w:color w:val="000000"/>
          <w:spacing w:val="-2"/>
        </w:rPr>
        <w:t>Kourdakov</w:t>
      </w:r>
      <w:proofErr w:type="spellEnd"/>
      <w:r w:rsidRPr="002546FC">
        <w:rPr>
          <w:iCs/>
          <w:color w:val="000000"/>
          <w:spacing w:val="-2"/>
        </w:rPr>
        <w:t xml:space="preserve"> a szovjet titkosrendőrség ügynöke volt, és az volt a feladata, hogy két-három emberével rajta üssön a keresztyéneken, amikor összegyűlnek imádkozni, és brutális módon vegye rá őket, hogy adják fel a hitet. </w:t>
      </w:r>
      <w:r>
        <w:rPr>
          <w:iCs/>
          <w:color w:val="000000"/>
          <w:spacing w:val="-2"/>
        </w:rPr>
        <w:t>E</w:t>
      </w:r>
      <w:r w:rsidRPr="002546FC">
        <w:rPr>
          <w:iCs/>
          <w:color w:val="000000"/>
          <w:spacing w:val="-2"/>
        </w:rPr>
        <w:t xml:space="preserve">gyik alkalommal egy gyönyörű lányt kaptak el, és az egyik legkeményebb embere teljes erejéből a falnak vágta, úgy hogy öntudatlanul zuhant a földre. Ám legnagyobb megdöbbenésére </w:t>
      </w:r>
      <w:r>
        <w:rPr>
          <w:iCs/>
          <w:color w:val="000000"/>
          <w:spacing w:val="-2"/>
        </w:rPr>
        <w:t>következő</w:t>
      </w:r>
      <w:r w:rsidRPr="002546FC">
        <w:rPr>
          <w:iCs/>
          <w:color w:val="000000"/>
          <w:spacing w:val="-2"/>
        </w:rPr>
        <w:t xml:space="preserve"> alkalommal a lány megint ott volt az imaközösségen. Ekkor elborult az agya, és két legényének megparancsolta, hogy fogják le a lányt, és addig verte, amíg tiszta vér, zúzódás és nyílt seb lett a lány háta. Majd jött egy következő rajtaütés, és legnagyobb megdöbbenésére a lány megint ott volt. Az egyik legénye már rárohant, mikor egy másik védelmezően a lány elé állt, és azt mondta:</w:t>
      </w:r>
    </w:p>
    <w:p w:rsidR="008364DF" w:rsidRDefault="008364DF" w:rsidP="008364DF">
      <w:pPr>
        <w:rPr>
          <w:iCs/>
          <w:color w:val="000000"/>
        </w:rPr>
      </w:pPr>
      <w:r>
        <w:rPr>
          <w:iCs/>
          <w:color w:val="000000"/>
        </w:rPr>
        <w:t xml:space="preserve">- Vissza! </w:t>
      </w:r>
    </w:p>
    <w:p w:rsidR="008364DF" w:rsidRDefault="008364DF" w:rsidP="008364DF">
      <w:pPr>
        <w:rPr>
          <w:iCs/>
          <w:color w:val="000000"/>
        </w:rPr>
      </w:pPr>
      <w:r>
        <w:rPr>
          <w:iCs/>
          <w:color w:val="000000"/>
        </w:rPr>
        <w:t>- Mi az, magadnak akarod? – kérdezte a másik vigyorogva.</w:t>
      </w:r>
    </w:p>
    <w:p w:rsidR="008364DF" w:rsidRDefault="008364DF" w:rsidP="008364DF">
      <w:pPr>
        <w:rPr>
          <w:iCs/>
          <w:color w:val="000000"/>
        </w:rPr>
      </w:pPr>
      <w:r>
        <w:rPr>
          <w:iCs/>
          <w:color w:val="000000"/>
        </w:rPr>
        <w:t xml:space="preserve">- Nem, </w:t>
      </w:r>
      <w:proofErr w:type="spellStart"/>
      <w:r>
        <w:rPr>
          <w:iCs/>
          <w:color w:val="000000"/>
        </w:rPr>
        <w:t>nem</w:t>
      </w:r>
      <w:proofErr w:type="spellEnd"/>
      <w:r>
        <w:rPr>
          <w:iCs/>
          <w:color w:val="000000"/>
        </w:rPr>
        <w:t xml:space="preserve"> bánthatod! Neki van valamije, ami nekünk nincs!</w:t>
      </w:r>
    </w:p>
    <w:p w:rsidR="008364DF" w:rsidRPr="002546FC" w:rsidRDefault="008364DF" w:rsidP="008364DF">
      <w:pPr>
        <w:rPr>
          <w:iCs/>
          <w:color w:val="000000"/>
        </w:rPr>
      </w:pPr>
      <w:r w:rsidRPr="002546FC">
        <w:rPr>
          <w:iCs/>
          <w:color w:val="000000"/>
        </w:rPr>
        <w:t xml:space="preserve">Ez a mondat szöget ütött </w:t>
      </w:r>
      <w:proofErr w:type="spellStart"/>
      <w:r w:rsidRPr="002546FC">
        <w:rPr>
          <w:iCs/>
          <w:color w:val="000000"/>
        </w:rPr>
        <w:t>Sergei</w:t>
      </w:r>
      <w:proofErr w:type="spellEnd"/>
      <w:r w:rsidRPr="002546FC">
        <w:rPr>
          <w:iCs/>
          <w:color w:val="000000"/>
        </w:rPr>
        <w:t xml:space="preserve"> fejébe és szívébe, és végül Krisztushoz vezette. Ezzel a lánnyal soha többet nem találkozott – de az a hajlandóság, ahogy Krisztusért vállalta a szenvedést, megadásra késztette.</w:t>
      </w:r>
      <w:r w:rsidRPr="002546FC">
        <w:rPr>
          <w:rStyle w:val="FootnoteReference"/>
          <w:iCs/>
        </w:rPr>
        <w:footnoteReference w:id="9"/>
      </w:r>
      <w:r>
        <w:rPr>
          <w:iCs/>
          <w:color w:val="000000"/>
        </w:rPr>
        <w:t xml:space="preserve"> Ez a keresztyének védtelen védelme. Legyőzhetnek, megalázhatnak, megüthetnek, megölhetnek – de Krisztus ereje, akit követünk nem hagy el minket, és képessé tesz a bizonyságtételre akár a betegágyon, akár a kínzószobában. Vajon tekintesz-e így a szenvedésedre, mint Krisztus példájának követésére</w:t>
      </w:r>
      <w:r w:rsidR="00C35B50">
        <w:rPr>
          <w:iCs/>
          <w:color w:val="000000"/>
        </w:rPr>
        <w:t>? Hogy minden szenvedéssel Mesteredhez leszel hasonló, az ő szenvedéseiben</w:t>
      </w:r>
      <w:r>
        <w:rPr>
          <w:iCs/>
          <w:color w:val="000000"/>
        </w:rPr>
        <w:t xml:space="preserve"> osztoz</w:t>
      </w:r>
      <w:r w:rsidR="00C35B50">
        <w:rPr>
          <w:iCs/>
          <w:color w:val="000000"/>
        </w:rPr>
        <w:t>ol</w:t>
      </w:r>
      <w:r>
        <w:rPr>
          <w:iCs/>
          <w:color w:val="000000"/>
        </w:rPr>
        <w:t xml:space="preserve"> (</w:t>
      </w:r>
      <w:proofErr w:type="spellStart"/>
      <w:r>
        <w:rPr>
          <w:iCs/>
          <w:color w:val="000000"/>
        </w:rPr>
        <w:t>Kol</w:t>
      </w:r>
      <w:proofErr w:type="spellEnd"/>
      <w:r>
        <w:rPr>
          <w:iCs/>
          <w:color w:val="000000"/>
        </w:rPr>
        <w:t xml:space="preserve"> 1:24)?</w:t>
      </w:r>
    </w:p>
    <w:p w:rsidR="00EE2025" w:rsidRDefault="008364DF" w:rsidP="00EE2025">
      <w:pPr>
        <w:pStyle w:val="Norml-behzsnlkl"/>
        <w:rPr>
          <w:b w:val="0"/>
        </w:rPr>
      </w:pPr>
      <w:r>
        <w:t>Erőnk</w:t>
      </w:r>
      <w:r w:rsidR="00EE2025">
        <w:t xml:space="preserve">: </w:t>
      </w:r>
      <w:r>
        <w:t>a Szentlélek</w:t>
      </w:r>
      <w:r w:rsidR="00EE2025">
        <w:t>.</w:t>
      </w:r>
      <w:r>
        <w:t xml:space="preserve"> </w:t>
      </w:r>
      <w:r>
        <w:rPr>
          <w:b w:val="0"/>
        </w:rPr>
        <w:t xml:space="preserve">De hogyan lehetünk erre képesek mi </w:t>
      </w:r>
      <w:r w:rsidR="00C35B50">
        <w:rPr>
          <w:b w:val="0"/>
        </w:rPr>
        <w:t xml:space="preserve">szürkék, szegények, akikben annyi a gyengeség, a harag, a kényelem-szeretet? Itt jön emlékeztetőül a zakariási prófécia: </w:t>
      </w:r>
      <w:r w:rsidR="00C35B50" w:rsidRPr="00C35B50">
        <w:rPr>
          <w:b w:val="0"/>
          <w:i/>
        </w:rPr>
        <w:t>„Nem erővel, sem hatalommal, hanem az én lelkemmel!”</w:t>
      </w:r>
      <w:r w:rsidR="00C35B50">
        <w:rPr>
          <w:b w:val="0"/>
          <w:i/>
        </w:rPr>
        <w:t xml:space="preserve"> </w:t>
      </w:r>
      <w:r w:rsidR="00C35B50">
        <w:rPr>
          <w:b w:val="0"/>
        </w:rPr>
        <w:t>A keresztyén küldetés magasztos és nagy erőt kíván: „ti vagytok a világ világossága” (</w:t>
      </w:r>
      <w:proofErr w:type="spellStart"/>
      <w:r w:rsidR="00C35B50">
        <w:rPr>
          <w:b w:val="0"/>
        </w:rPr>
        <w:t>Mt</w:t>
      </w:r>
      <w:proofErr w:type="spellEnd"/>
      <w:r w:rsidR="00C35B50">
        <w:rPr>
          <w:b w:val="0"/>
        </w:rPr>
        <w:t xml:space="preserve"> 5:14). Néha nagyon nehéznek tapasztaljuk a keresztyén életet. Minket betegség ér. Barátainkat gúnyolják. Ráadásul sok tragédiát tapasztalunk e világban. Ám van egy csodálatos bátorítás: hogy a Szentlélek Isten benned lakozik, és ő ad erőt mindehhez. Nem baj, ha gyenge vagy, és erőd elfogyott. Mert a keresztyén szolgálat nem a te erődből történik. Nem baj, ha kicsi vagy – mert a </w:t>
      </w:r>
      <w:r w:rsidR="00C35B50">
        <w:rPr>
          <w:b w:val="0"/>
        </w:rPr>
        <w:lastRenderedPageBreak/>
        <w:t>keresztyénség nem a te nagyságodról, tudásodról, kiválóságodról szól. Hanem Krisztus erejéről és szépségéről. És Isten erőt fog adni ehhez.</w:t>
      </w:r>
    </w:p>
    <w:p w:rsidR="00006B74" w:rsidRPr="00006B74" w:rsidRDefault="00006B74" w:rsidP="00006B74">
      <w:r>
        <w:t xml:space="preserve">De vajon kéred-e az erőt? Tudatában vagy-e annak, hogy a Lélekre szorulsz? Ó, lásd meg, szeretett testvérem, a bátorítást ebben az igerészben az imádkozásra. A két próféta minket jelképez. Isten ez erőteljes képek által minket erősít. Fontos-e az imádság? Azt mondja Jánoson keresztül, hogy a Szentlélek bennünk van, ezért mintegy olyanok vagyunk, mint az ószövetségi próféták: </w:t>
      </w:r>
      <w:r>
        <w:rPr>
          <w:i/>
        </w:rPr>
        <w:t>„</w:t>
      </w:r>
      <w:r w:rsidRPr="00006B74">
        <w:rPr>
          <w:i/>
          <w:vertAlign w:val="superscript"/>
        </w:rPr>
        <w:t>6</w:t>
      </w:r>
      <w:r w:rsidRPr="00006B74">
        <w:rPr>
          <w:i/>
        </w:rPr>
        <w:t>Nekik hatalmuk van arra, hogy bezárják az eget, hogy prófétálásuk idején ne legyen eső, és hatalmuk van arra, hogy a vizeket vérré változtassák, és megverjék a földet bármilyen csapással, ahányszor csak akarják.</w:t>
      </w:r>
      <w:r>
        <w:rPr>
          <w:i/>
        </w:rPr>
        <w:t xml:space="preserve">” </w:t>
      </w:r>
      <w:r>
        <w:t>Igen, az imádság által hatalmunk van, hiszen a Mindenhatóhoz van bejárásunk. Az imádkozó keresztyén hatalmas – nem azért, hogy saját kényelméért imádkozzon, hanem hogy Ura ügyéért, a Krisztusról való bizonyságtételért könyörögjön. Imádságod pont olyan erős, mint Mózesé vagy Illésé, hiszen ugyanaz a Lélek van benned és ugyanaz a Megváltód!</w:t>
      </w:r>
    </w:p>
    <w:p w:rsidR="00EE2025" w:rsidRDefault="00EE2025" w:rsidP="00EE2025">
      <w:pPr>
        <w:pStyle w:val="Norml-behzsnlkl"/>
        <w:rPr>
          <w:b w:val="0"/>
        </w:rPr>
      </w:pPr>
      <w:r>
        <w:t>A fenevad és a világ: pusztít és legyőz, de mégis kudarcot vall.</w:t>
      </w:r>
      <w:r w:rsidR="00006B74">
        <w:t xml:space="preserve"> </w:t>
      </w:r>
      <w:r w:rsidR="00006B74">
        <w:rPr>
          <w:b w:val="0"/>
        </w:rPr>
        <w:t xml:space="preserve">Harmadszor Isten igéje tanít reálisnak is lenni. Igen, ebben a világban érni fognak vereségek. Lesznek helyzetek, amikor megaláznak a világiak. Amikor nevetségesek leszünk. Amikor nem tudunk az emberek tetszésére lenni. Talán kívánnánk a világ elismerését, de nem kapjuk. Hanem akár sebeket, sőt halált találunk e földön. </w:t>
      </w:r>
    </w:p>
    <w:p w:rsidR="00006B74" w:rsidRPr="00006B74" w:rsidRDefault="00006B74" w:rsidP="00006B74">
      <w:r>
        <w:t>De nem ez a vég! A templom tornácát csak 42 hónapig tapodják. A két tanú teste csak 3,5 napig fekszik az utcán. A megaláztatás csak rövid ideig tart. Vagyis szoktassuk magunkat, szeretett gyülekezet, a kellemetlenséghez. Öldököljük meg magunkban a konfliktuskerülő, mindenki tetszését kereső, mindenki által megbecsült, kényelmes életre törekvő hajlamokat. És legyünk egyszerűen keresztyének. Krisztus-követők. Ahogy őt üldözték, minket is fognak. De ezen ne szomorkodjunk, hanem örüljünk, hogy Krisztussal szenvedhetünk, mert így vele leszünk a dicsőségben is!</w:t>
      </w:r>
    </w:p>
    <w:p w:rsidR="00EE2025" w:rsidRPr="005E66B6" w:rsidRDefault="00EE2025" w:rsidP="00EE2025">
      <w:pPr>
        <w:pStyle w:val="Norml-behzsnlkl"/>
        <w:rPr>
          <w:b w:val="0"/>
        </w:rPr>
      </w:pPr>
      <w:r>
        <w:t>Isten: övé az utolsó szó.</w:t>
      </w:r>
      <w:r w:rsidR="00006B74">
        <w:t xml:space="preserve"> </w:t>
      </w:r>
      <w:r w:rsidR="00006B74">
        <w:rPr>
          <w:b w:val="0"/>
        </w:rPr>
        <w:t xml:space="preserve">És ez a lényeg: a vége. Hiszen ez a fejezet a hetedik trombitával fejeződik be. </w:t>
      </w:r>
      <w:r w:rsidR="005E66B6">
        <w:rPr>
          <w:b w:val="0"/>
        </w:rPr>
        <w:t xml:space="preserve">A pogányok ugyan megharagudtak, de eljön Isten haragjának és a halottak felett való ítélet ideje (11:19). Az utolsó szó Istené – és az ő hangja az ítéleté és jutalmazásé. És mindez meglesz. Az igazság és a kegyelem a lehető legteljesebb mértékben ki lesz szolgáltatva. Isten igazságot a gonosznak – mindenkinek, aki elégedett saját bűnével és Isten elleni lázadásával. Ám Isten kegyelmet ad az ő népének, és eljön az ő országa. Visszajön Krisztus, aki helyet készített nekünk az Atyánál. És a kegyelem legédesebb hangja felhangzik majd: </w:t>
      </w:r>
      <w:r w:rsidR="005E66B6">
        <w:rPr>
          <w:b w:val="0"/>
          <w:i/>
        </w:rPr>
        <w:t>„</w:t>
      </w:r>
      <w:r w:rsidR="005E66B6" w:rsidRPr="005E66B6">
        <w:rPr>
          <w:b w:val="0"/>
          <w:i/>
        </w:rPr>
        <w:t>Jól van, jó és hű szolgám</w:t>
      </w:r>
      <w:proofErr w:type="gramStart"/>
      <w:r w:rsidR="005E66B6" w:rsidRPr="005E66B6">
        <w:rPr>
          <w:b w:val="0"/>
          <w:i/>
        </w:rPr>
        <w:t xml:space="preserve">, </w:t>
      </w:r>
      <w:r w:rsidR="005E66B6">
        <w:rPr>
          <w:b w:val="0"/>
          <w:i/>
        </w:rPr>
        <w:t>…</w:t>
      </w:r>
      <w:proofErr w:type="gramEnd"/>
      <w:r w:rsidR="005E66B6">
        <w:rPr>
          <w:b w:val="0"/>
          <w:i/>
        </w:rPr>
        <w:t xml:space="preserve"> </w:t>
      </w:r>
      <w:r w:rsidR="005E66B6" w:rsidRPr="005E66B6">
        <w:rPr>
          <w:b w:val="0"/>
          <w:i/>
        </w:rPr>
        <w:t>menj be a te uradnak örömébe!</w:t>
      </w:r>
      <w:r w:rsidR="005E66B6">
        <w:rPr>
          <w:b w:val="0"/>
          <w:i/>
        </w:rPr>
        <w:t xml:space="preserve">” </w:t>
      </w:r>
      <w:r w:rsidR="005E66B6">
        <w:rPr>
          <w:b w:val="0"/>
        </w:rPr>
        <w:t>(</w:t>
      </w:r>
      <w:proofErr w:type="spellStart"/>
      <w:r w:rsidR="005E66B6">
        <w:rPr>
          <w:b w:val="0"/>
        </w:rPr>
        <w:t>Mt</w:t>
      </w:r>
      <w:proofErr w:type="spellEnd"/>
      <w:r w:rsidR="005E66B6">
        <w:rPr>
          <w:b w:val="0"/>
        </w:rPr>
        <w:t xml:space="preserve"> 25:21) Ez a hang fog várni minket, szeretett gyülekezet. Ne csüggedjünk tehát, ne lustálkodjunk, és ne habozzunk, hanem öljük a bűnt, és hirdessük </w:t>
      </w:r>
      <w:r w:rsidR="00FB4D2D">
        <w:rPr>
          <w:b w:val="0"/>
        </w:rPr>
        <w:t>Krisztust e világnak</w:t>
      </w:r>
      <w:r w:rsidR="005E66B6">
        <w:rPr>
          <w:b w:val="0"/>
        </w:rPr>
        <w:t>! Ámen.</w:t>
      </w:r>
    </w:p>
    <w:sectPr w:rsidR="00EE2025" w:rsidRPr="005E66B6"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EAC" w:rsidRDefault="00186EAC" w:rsidP="00AF27D4">
      <w:r>
        <w:separator/>
      </w:r>
    </w:p>
  </w:endnote>
  <w:endnote w:type="continuationSeparator" w:id="0">
    <w:p w:rsidR="00186EAC" w:rsidRDefault="00186EAC"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E16FF8">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EAC" w:rsidRPr="004F5C0B" w:rsidRDefault="00186EAC" w:rsidP="004F5C0B">
      <w:pPr>
        <w:pStyle w:val="Footer"/>
        <w:ind w:firstLine="0"/>
      </w:pPr>
    </w:p>
  </w:footnote>
  <w:footnote w:type="continuationSeparator" w:id="0">
    <w:p w:rsidR="00186EAC" w:rsidRDefault="00186EAC" w:rsidP="004F5C0B">
      <w:pPr>
        <w:ind w:firstLine="0"/>
      </w:pPr>
      <w:r>
        <w:continuationSeparator/>
      </w:r>
    </w:p>
  </w:footnote>
  <w:footnote w:id="1">
    <w:p w:rsidR="00292BAA" w:rsidRDefault="00292BAA">
      <w:pPr>
        <w:pStyle w:val="FootnoteText"/>
      </w:pPr>
      <w:r>
        <w:rPr>
          <w:rStyle w:val="FootnoteReference"/>
        </w:rPr>
        <w:footnoteRef/>
      </w:r>
      <w:r>
        <w:t xml:space="preserve"> A jelképes értelmezés alapelvének alátámasztását és kifejtését bővebben lásd a Jelenések sorozat bevezető igehirdetéseiben: „Mi is ez a könyv?” </w:t>
      </w:r>
      <w:proofErr w:type="gramStart"/>
      <w:r>
        <w:t>ill.</w:t>
      </w:r>
      <w:proofErr w:type="gramEnd"/>
      <w:r>
        <w:t xml:space="preserve"> „Miért van szükségünk erre a könyvre?”</w:t>
      </w:r>
    </w:p>
  </w:footnote>
  <w:footnote w:id="2">
    <w:p w:rsidR="00F87092" w:rsidRPr="00F87092" w:rsidRDefault="00F87092">
      <w:pPr>
        <w:pStyle w:val="FootnoteText"/>
      </w:pPr>
      <w:r w:rsidRPr="00F87092">
        <w:rPr>
          <w:rStyle w:val="FootnoteReference"/>
        </w:rPr>
        <w:footnoteRef/>
      </w:r>
      <w:r w:rsidRPr="00F87092">
        <w:t xml:space="preserve"> Összesen 16-szor fordul elő a templom kifejezés: 3:12, 7:15, 11:1, 2, 19 (2x), 14:15, 17, 15:5, </w:t>
      </w:r>
      <w:r>
        <w:t>6, 8 (2x), 16:1, 17, 21:22 (2x).</w:t>
      </w:r>
    </w:p>
  </w:footnote>
  <w:footnote w:id="3">
    <w:p w:rsidR="00C86C2A" w:rsidRPr="00C86C2A" w:rsidRDefault="00C86C2A">
      <w:pPr>
        <w:pStyle w:val="FootnoteText"/>
      </w:pPr>
      <w:r>
        <w:rPr>
          <w:rStyle w:val="FootnoteReference"/>
        </w:rPr>
        <w:footnoteRef/>
      </w:r>
      <w:r>
        <w:t xml:space="preserve"> A Károlyi és az újonnan revideált Károlyi egy és-t szúr be: „sátorát </w:t>
      </w:r>
      <w:r>
        <w:rPr>
          <w:i/>
        </w:rPr>
        <w:t xml:space="preserve">és </w:t>
      </w:r>
      <w:r>
        <w:t>azokat, akik a mennyben laknak”. Ez az „és” azonban nincs benne a görög szövegben, sem más (pl. angol nyelvű) fordításokban.</w:t>
      </w:r>
    </w:p>
  </w:footnote>
  <w:footnote w:id="4">
    <w:p w:rsidR="00C86C2A" w:rsidRDefault="00C86C2A">
      <w:pPr>
        <w:pStyle w:val="FootnoteText"/>
      </w:pPr>
      <w:r>
        <w:rPr>
          <w:rStyle w:val="FootnoteReference"/>
        </w:rPr>
        <w:footnoteRef/>
      </w:r>
      <w:r>
        <w:t xml:space="preserve"> 1Kor 3:16–17; 2Kor 6:16; </w:t>
      </w:r>
      <w:proofErr w:type="spellStart"/>
      <w:r>
        <w:t>Ef</w:t>
      </w:r>
      <w:proofErr w:type="spellEnd"/>
      <w:r>
        <w:t xml:space="preserve"> 2:20–22; 1Pét 2:5–9 stb.</w:t>
      </w:r>
      <w:bookmarkStart w:id="0" w:name="_GoBack"/>
      <w:bookmarkEnd w:id="0"/>
    </w:p>
  </w:footnote>
  <w:footnote w:id="5">
    <w:p w:rsidR="00E44767" w:rsidRDefault="00E44767">
      <w:pPr>
        <w:pStyle w:val="FootnoteText"/>
      </w:pPr>
      <w:r>
        <w:rPr>
          <w:rStyle w:val="FootnoteReference"/>
        </w:rPr>
        <w:footnoteRef/>
      </w:r>
      <w:r>
        <w:t xml:space="preserve"> Erre mutat még sok más párhuzam is. Pl. hogy a tornác/szent város pogányok általi tapodása 42 hónapon keresztül (11:2) pont megegyezik azzal az idővel, amíg a fenevad Isten népe ellen hadakozik (13:5–7). A két csata ugyanaz.</w:t>
      </w:r>
    </w:p>
  </w:footnote>
  <w:footnote w:id="6">
    <w:p w:rsidR="00C00CC3" w:rsidRDefault="00C00CC3">
      <w:pPr>
        <w:pStyle w:val="FootnoteText"/>
      </w:pPr>
      <w:r>
        <w:rPr>
          <w:rStyle w:val="FootnoteReference"/>
        </w:rPr>
        <w:footnoteRef/>
      </w:r>
      <w:r>
        <w:t xml:space="preserve"> Zakariás látomása rendkívül összetett, értelmezéséhez a következő források bizonyultak hasznosnak: </w:t>
      </w:r>
      <w:r w:rsidRPr="00C00CC3">
        <w:rPr>
          <w:b/>
        </w:rPr>
        <w:t>Klein, G. L.</w:t>
      </w:r>
      <w:r w:rsidRPr="00C00CC3">
        <w:t xml:space="preserve"> (2008). </w:t>
      </w:r>
      <w:proofErr w:type="spellStart"/>
      <w:r w:rsidRPr="00C00CC3">
        <w:t>Zechariah</w:t>
      </w:r>
      <w:proofErr w:type="spellEnd"/>
      <w:r w:rsidRPr="00C00CC3">
        <w:t xml:space="preserve"> (</w:t>
      </w:r>
      <w:proofErr w:type="spellStart"/>
      <w:r w:rsidRPr="00C00CC3">
        <w:t>Vol</w:t>
      </w:r>
      <w:proofErr w:type="spellEnd"/>
      <w:r w:rsidRPr="00C00CC3">
        <w:t>. 21B)</w:t>
      </w:r>
      <w:r>
        <w:t>, 153-168. old.</w:t>
      </w:r>
      <w:r w:rsidRPr="00C00CC3">
        <w:t xml:space="preserve"> Nashville, TN: B &amp; H Publishing Group.</w:t>
      </w:r>
      <w:r>
        <w:t xml:space="preserve"> </w:t>
      </w:r>
      <w:proofErr w:type="spellStart"/>
      <w:r w:rsidRPr="00C00CC3">
        <w:rPr>
          <w:b/>
        </w:rPr>
        <w:t>Fishbane</w:t>
      </w:r>
      <w:proofErr w:type="spellEnd"/>
      <w:r w:rsidRPr="00C00CC3">
        <w:rPr>
          <w:b/>
        </w:rPr>
        <w:t>, M. A.</w:t>
      </w:r>
      <w:r>
        <w:t xml:space="preserve"> (2002). </w:t>
      </w:r>
      <w:proofErr w:type="spellStart"/>
      <w:r>
        <w:rPr>
          <w:i/>
          <w:iCs/>
        </w:rPr>
        <w:t>Haftarot</w:t>
      </w:r>
      <w:proofErr w:type="spellEnd"/>
      <w:r w:rsidRPr="00C00CC3">
        <w:rPr>
          <w:iCs/>
        </w:rPr>
        <w:t>, 222-229. old</w:t>
      </w:r>
      <w:proofErr w:type="gramStart"/>
      <w:r w:rsidRPr="00C00CC3">
        <w:rPr>
          <w:iCs/>
        </w:rPr>
        <w:t>.</w:t>
      </w:r>
      <w:r>
        <w:t>.</w:t>
      </w:r>
      <w:proofErr w:type="gramEnd"/>
      <w:r>
        <w:t xml:space="preserve"> Philadelphia: The </w:t>
      </w:r>
      <w:proofErr w:type="spellStart"/>
      <w:r>
        <w:t>Jewish</w:t>
      </w:r>
      <w:proofErr w:type="spellEnd"/>
      <w:r>
        <w:t xml:space="preserve"> </w:t>
      </w:r>
      <w:proofErr w:type="spellStart"/>
      <w:r>
        <w:t>Publication</w:t>
      </w:r>
      <w:proofErr w:type="spellEnd"/>
      <w:r>
        <w:t xml:space="preserve"> Society. </w:t>
      </w:r>
      <w:r w:rsidRPr="00C00CC3">
        <w:rPr>
          <w:b/>
        </w:rPr>
        <w:t>Clark, D. J</w:t>
      </w:r>
      <w:proofErr w:type="gramStart"/>
      <w:r w:rsidRPr="00C00CC3">
        <w:rPr>
          <w:b/>
        </w:rPr>
        <w:t>.,</w:t>
      </w:r>
      <w:proofErr w:type="gramEnd"/>
      <w:r w:rsidRPr="00C00CC3">
        <w:rPr>
          <w:b/>
        </w:rPr>
        <w:t xml:space="preserve"> &amp; </w:t>
      </w:r>
      <w:proofErr w:type="spellStart"/>
      <w:r w:rsidRPr="00C00CC3">
        <w:rPr>
          <w:b/>
        </w:rPr>
        <w:t>Hatton</w:t>
      </w:r>
      <w:proofErr w:type="spellEnd"/>
      <w:r w:rsidRPr="00C00CC3">
        <w:rPr>
          <w:b/>
        </w:rPr>
        <w:t>, H. A.</w:t>
      </w:r>
      <w:r w:rsidRPr="00C00CC3">
        <w:t xml:space="preserve"> </w:t>
      </w:r>
      <w:r>
        <w:t xml:space="preserve">(2002). A </w:t>
      </w:r>
      <w:proofErr w:type="spellStart"/>
      <w:r>
        <w:t>handbook</w:t>
      </w:r>
      <w:proofErr w:type="spellEnd"/>
      <w:r>
        <w:t xml:space="preserve"> </w:t>
      </w:r>
      <w:proofErr w:type="spellStart"/>
      <w:r>
        <w:t>on</w:t>
      </w:r>
      <w:proofErr w:type="spellEnd"/>
      <w:r>
        <w:t xml:space="preserve"> </w:t>
      </w:r>
      <w:proofErr w:type="spellStart"/>
      <w:r>
        <w:t>Zechariah</w:t>
      </w:r>
      <w:proofErr w:type="spellEnd"/>
      <w:r>
        <w:t>, 131-147. old.</w:t>
      </w:r>
      <w:r w:rsidRPr="00C00CC3">
        <w:t xml:space="preserve"> New York: United </w:t>
      </w:r>
      <w:proofErr w:type="spellStart"/>
      <w:r w:rsidRPr="00C00CC3">
        <w:t>Bible</w:t>
      </w:r>
      <w:proofErr w:type="spellEnd"/>
      <w:r w:rsidRPr="00C00CC3">
        <w:t xml:space="preserve"> </w:t>
      </w:r>
      <w:proofErr w:type="spellStart"/>
      <w:r w:rsidRPr="00C00CC3">
        <w:t>Societies</w:t>
      </w:r>
      <w:proofErr w:type="spellEnd"/>
      <w:r w:rsidRPr="00C00CC3">
        <w:t>.</w:t>
      </w:r>
      <w:r>
        <w:t xml:space="preserve"> </w:t>
      </w:r>
      <w:proofErr w:type="spellStart"/>
      <w:r w:rsidRPr="00C00CC3">
        <w:rPr>
          <w:b/>
        </w:rPr>
        <w:t>Beale</w:t>
      </w:r>
      <w:proofErr w:type="spellEnd"/>
      <w:r w:rsidRPr="00C00CC3">
        <w:rPr>
          <w:b/>
        </w:rPr>
        <w:t>, G. K.</w:t>
      </w:r>
      <w:r w:rsidRPr="00C00CC3">
        <w:t xml:space="preserve"> (1999). The </w:t>
      </w:r>
      <w:proofErr w:type="spellStart"/>
      <w:r w:rsidRPr="00C00CC3">
        <w:t>book</w:t>
      </w:r>
      <w:proofErr w:type="spellEnd"/>
      <w:r w:rsidRPr="00C00CC3">
        <w:t xml:space="preserve"> of </w:t>
      </w:r>
      <w:proofErr w:type="spellStart"/>
      <w:r w:rsidRPr="00C00CC3">
        <w:t>Revelation</w:t>
      </w:r>
      <w:proofErr w:type="spellEnd"/>
      <w:r w:rsidRPr="00C00CC3">
        <w:t>:</w:t>
      </w:r>
      <w:r w:rsidR="007E040C">
        <w:t xml:space="preserve"> a </w:t>
      </w:r>
      <w:proofErr w:type="spellStart"/>
      <w:r w:rsidR="007E040C">
        <w:t>commentary</w:t>
      </w:r>
      <w:proofErr w:type="spellEnd"/>
      <w:r w:rsidR="007E040C">
        <w:t xml:space="preserve"> </w:t>
      </w:r>
      <w:proofErr w:type="spellStart"/>
      <w:r w:rsidR="007E040C">
        <w:t>on</w:t>
      </w:r>
      <w:proofErr w:type="spellEnd"/>
      <w:r w:rsidR="007E040C">
        <w:t xml:space="preserve"> </w:t>
      </w:r>
      <w:proofErr w:type="spellStart"/>
      <w:r w:rsidR="007E040C">
        <w:t>the</w:t>
      </w:r>
      <w:proofErr w:type="spellEnd"/>
      <w:r w:rsidR="007E040C">
        <w:t xml:space="preserve"> </w:t>
      </w:r>
      <w:proofErr w:type="spellStart"/>
      <w:r w:rsidR="007E040C">
        <w:t>Greek</w:t>
      </w:r>
      <w:proofErr w:type="spellEnd"/>
      <w:r w:rsidR="007E040C">
        <w:t xml:space="preserve"> text, 577–579. old. </w:t>
      </w:r>
      <w:r w:rsidRPr="00C00CC3">
        <w:t xml:space="preserve"> Grand </w:t>
      </w:r>
      <w:proofErr w:type="spellStart"/>
      <w:r w:rsidRPr="00C00CC3">
        <w:t>Rapids</w:t>
      </w:r>
      <w:proofErr w:type="spellEnd"/>
      <w:r w:rsidRPr="00C00CC3">
        <w:t xml:space="preserve">, MI; </w:t>
      </w:r>
      <w:proofErr w:type="spellStart"/>
      <w:r w:rsidRPr="00C00CC3">
        <w:t>Carlisle</w:t>
      </w:r>
      <w:proofErr w:type="spellEnd"/>
      <w:r w:rsidRPr="00C00CC3">
        <w:t xml:space="preserve">, </w:t>
      </w:r>
      <w:proofErr w:type="spellStart"/>
      <w:r w:rsidRPr="00C00CC3">
        <w:t>Cumbria</w:t>
      </w:r>
      <w:proofErr w:type="spellEnd"/>
      <w:r w:rsidRPr="00C00CC3">
        <w:t>: W</w:t>
      </w:r>
      <w:proofErr w:type="gramStart"/>
      <w:r w:rsidRPr="00C00CC3">
        <w:t>.B.</w:t>
      </w:r>
      <w:proofErr w:type="gramEnd"/>
      <w:r w:rsidRPr="00C00CC3">
        <w:t xml:space="preserve"> </w:t>
      </w:r>
      <w:proofErr w:type="spellStart"/>
      <w:r w:rsidRPr="00C00CC3">
        <w:t>Eerdmans</w:t>
      </w:r>
      <w:proofErr w:type="spellEnd"/>
      <w:r w:rsidRPr="00C00CC3">
        <w:t xml:space="preserve">; </w:t>
      </w:r>
      <w:proofErr w:type="spellStart"/>
      <w:r w:rsidRPr="00C00CC3">
        <w:t>Paternoster</w:t>
      </w:r>
      <w:proofErr w:type="spellEnd"/>
      <w:r w:rsidRPr="00C00CC3">
        <w:t xml:space="preserve"> Press.</w:t>
      </w:r>
    </w:p>
  </w:footnote>
  <w:footnote w:id="7">
    <w:p w:rsidR="00997642" w:rsidRDefault="00997642">
      <w:pPr>
        <w:pStyle w:val="FootnoteText"/>
      </w:pPr>
      <w:r>
        <w:rPr>
          <w:rStyle w:val="FootnoteReference"/>
        </w:rPr>
        <w:footnoteRef/>
      </w:r>
      <w:r>
        <w:t xml:space="preserve"> Dán 7:25; 9:27; 12:7, 11–12. Érdekességként az Újszövetség 3,5 évben határozza meg azt az időt, amikor Illés szavára nem volt eső Izráelben (</w:t>
      </w:r>
      <w:proofErr w:type="spellStart"/>
      <w:r>
        <w:t>Lk</w:t>
      </w:r>
      <w:proofErr w:type="spellEnd"/>
      <w:r>
        <w:t xml:space="preserve"> 4:25; Jak 5:17). Ez pedig további kapcsolódást jelent a két próféta alakjához, aki közül az egyik vélhetően Illésről lett mintázva (szőrcsuha, ne legyen eső, tűz általi csapás).</w:t>
      </w:r>
    </w:p>
  </w:footnote>
  <w:footnote w:id="8">
    <w:p w:rsidR="00997642" w:rsidRDefault="00997642">
      <w:pPr>
        <w:pStyle w:val="FootnoteText"/>
      </w:pPr>
      <w:r>
        <w:rPr>
          <w:rStyle w:val="FootnoteReference"/>
        </w:rPr>
        <w:footnoteRef/>
      </w:r>
      <w:r>
        <w:t xml:space="preserve"> Valószínűleg jelképes, hiszen „a pogányok ideje”</w:t>
      </w:r>
      <w:r w:rsidR="00EE2025">
        <w:t>, Isten népének látható nyomorgása</w:t>
      </w:r>
      <w:r>
        <w:t xml:space="preserve"> Jézus szerint Jeruzsálem lerombolásával kezdődik (</w:t>
      </w:r>
      <w:proofErr w:type="spellStart"/>
      <w:r>
        <w:t>Lk</w:t>
      </w:r>
      <w:proofErr w:type="spellEnd"/>
      <w:r>
        <w:t xml:space="preserve"> 21:20–24)</w:t>
      </w:r>
      <w:r w:rsidR="00EE2025">
        <w:t>.</w:t>
      </w:r>
    </w:p>
  </w:footnote>
  <w:footnote w:id="9">
    <w:p w:rsidR="008364DF" w:rsidRDefault="008364DF" w:rsidP="008364DF">
      <w:pPr>
        <w:pStyle w:val="FootnoteText"/>
      </w:pPr>
      <w:r>
        <w:rPr>
          <w:rStyle w:val="FootnoteReference"/>
        </w:rPr>
        <w:footnoteRef/>
      </w:r>
      <w:r>
        <w:t xml:space="preserve"> John </w:t>
      </w:r>
      <w:proofErr w:type="spellStart"/>
      <w:r>
        <w:t>Piper</w:t>
      </w:r>
      <w:proofErr w:type="spellEnd"/>
      <w:r>
        <w:t xml:space="preserve">: </w:t>
      </w:r>
      <w:proofErr w:type="spellStart"/>
      <w:r>
        <w:rPr>
          <w:i/>
        </w:rPr>
        <w:t>Desiring</w:t>
      </w:r>
      <w:proofErr w:type="spellEnd"/>
      <w:r>
        <w:rPr>
          <w:i/>
        </w:rPr>
        <w:t xml:space="preserve"> </w:t>
      </w:r>
      <w:proofErr w:type="spellStart"/>
      <w:r>
        <w:rPr>
          <w:i/>
        </w:rPr>
        <w:t>God</w:t>
      </w:r>
      <w:proofErr w:type="spellEnd"/>
      <w:r>
        <w:t>, 275-278.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B74"/>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AA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29"/>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D3"/>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7EB"/>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E6"/>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0B67"/>
    <w:rsid w:val="00331223"/>
    <w:rsid w:val="0033137A"/>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24D"/>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E13"/>
    <w:rsid w:val="003E0F6E"/>
    <w:rsid w:val="003E10FF"/>
    <w:rsid w:val="003E12AD"/>
    <w:rsid w:val="003E12F4"/>
    <w:rsid w:val="003E137B"/>
    <w:rsid w:val="003E13E4"/>
    <w:rsid w:val="003E142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4136"/>
    <w:rsid w:val="0047429E"/>
    <w:rsid w:val="0047472A"/>
    <w:rsid w:val="00474924"/>
    <w:rsid w:val="00474B6C"/>
    <w:rsid w:val="00474C9A"/>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2BA"/>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456"/>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4E0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E79"/>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96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98"/>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3A3"/>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0F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059"/>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A6E"/>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5CDE"/>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0CD"/>
    <w:rsid w:val="00A167B7"/>
    <w:rsid w:val="00A16836"/>
    <w:rsid w:val="00A1696B"/>
    <w:rsid w:val="00A16A54"/>
    <w:rsid w:val="00A16B13"/>
    <w:rsid w:val="00A16B90"/>
    <w:rsid w:val="00A16FC6"/>
    <w:rsid w:val="00A17172"/>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3EF"/>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152"/>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15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F9F"/>
    <w:rsid w:val="00B91115"/>
    <w:rsid w:val="00B917E8"/>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0CC3"/>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C2D"/>
    <w:rsid w:val="00CC4DFA"/>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CFB"/>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4313"/>
    <w:rsid w:val="00E44339"/>
    <w:rsid w:val="00E445A5"/>
    <w:rsid w:val="00E44767"/>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6B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025"/>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C15"/>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37"/>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D7F7E"/>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AF"/>
    <w:rsid w:val="00FE64F8"/>
    <w:rsid w:val="00FE6709"/>
    <w:rsid w:val="00FE68AE"/>
    <w:rsid w:val="00FE696F"/>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D5AD16-0D71-4881-93BA-16F7A8D1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D69D7-7E4E-4936-AD7E-1E59E8364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23499</TotalTime>
  <Pages>5</Pages>
  <Words>2258</Words>
  <Characters>15588</Characters>
  <Application>Microsoft Office Word</Application>
  <DocSecurity>0</DocSecurity>
  <Lines>129</Lines>
  <Paragraphs>35</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17811</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68</cp:revision>
  <cp:lastPrinted>2011-12-15T15:23:00Z</cp:lastPrinted>
  <dcterms:created xsi:type="dcterms:W3CDTF">2015-04-11T17:06:00Z</dcterms:created>
  <dcterms:modified xsi:type="dcterms:W3CDTF">2015-12-20T07:29:00Z</dcterms:modified>
</cp:coreProperties>
</file>