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30" w:rsidRPr="00BA5F1E" w:rsidRDefault="00616630" w:rsidP="00616630">
      <w:pPr>
        <w:pStyle w:val="NormalWeb"/>
        <w:jc w:val="center"/>
        <w:rPr>
          <w:rFonts w:ascii="Arial" w:hAnsi="Arial" w:cs="Arial"/>
          <w:b/>
          <w:bCs/>
          <w:rtl/>
        </w:rPr>
      </w:pPr>
      <w:r w:rsidRPr="00BA5F1E">
        <w:rPr>
          <w:rFonts w:ascii="Arial" w:hAnsi="Arial" w:cs="Arial"/>
          <w:b/>
          <w:bCs/>
          <w:rtl/>
        </w:rPr>
        <w:t>המנהל האזרחי לאזור יהודה ושומרון</w:t>
      </w:r>
    </w:p>
    <w:p w:rsidR="00616630" w:rsidRPr="00BA5F1E" w:rsidRDefault="00616630" w:rsidP="00616630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BA5F1E">
        <w:rPr>
          <w:rFonts w:ascii="Arial" w:hAnsi="Arial" w:cs="Arial"/>
          <w:b/>
          <w:bCs/>
          <w:szCs w:val="24"/>
          <w:rtl/>
        </w:rPr>
        <w:t>מועצת התכנון העליונה</w:t>
      </w:r>
    </w:p>
    <w:p w:rsidR="00616630" w:rsidRPr="00BA5F1E" w:rsidRDefault="00616630" w:rsidP="00616630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BA5F1E" w:rsidRDefault="00616630" w:rsidP="00D615B8">
      <w:pPr>
        <w:pStyle w:val="NormalWeb"/>
        <w:ind w:left="29"/>
        <w:rPr>
          <w:rFonts w:ascii="Arial" w:hAnsi="Arial" w:cs="Arial"/>
          <w:b/>
          <w:bCs/>
          <w:sz w:val="22"/>
          <w:szCs w:val="22"/>
          <w:rtl/>
        </w:rPr>
      </w:pPr>
      <w:bookmarkStart w:id="0" w:name="bkM_Nusach_start"/>
      <w:bookmarkEnd w:id="0"/>
      <w:r w:rsidRPr="00BA5F1E">
        <w:rPr>
          <w:rFonts w:ascii="Arial" w:hAnsi="Arial" w:cs="Arial"/>
          <w:b/>
          <w:bCs/>
          <w:sz w:val="22"/>
          <w:szCs w:val="22"/>
          <w:rtl/>
        </w:rPr>
        <w:t xml:space="preserve">הודעה על </w:t>
      </w:r>
      <w:r w:rsidR="00D615B8" w:rsidRPr="00BA5F1E">
        <w:rPr>
          <w:rFonts w:ascii="Arial" w:hAnsi="Arial" w:cs="Arial" w:hint="cs"/>
          <w:b/>
          <w:bCs/>
          <w:sz w:val="22"/>
          <w:szCs w:val="22"/>
          <w:rtl/>
        </w:rPr>
        <w:t>מתן תוקף</w:t>
      </w:r>
      <w:r w:rsidRPr="00BA5F1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bookmarkStart w:id="1" w:name="bkM_SugTochnit"/>
      <w:bookmarkEnd w:id="1"/>
      <w:r w:rsidR="00D615B8" w:rsidRPr="00BA5F1E">
        <w:rPr>
          <w:rFonts w:ascii="Arial" w:hAnsi="Arial" w:cs="Arial" w:hint="cs"/>
          <w:b/>
          <w:bCs/>
          <w:sz w:val="22"/>
          <w:szCs w:val="22"/>
          <w:rtl/>
        </w:rPr>
        <w:t>ל</w:t>
      </w:r>
      <w:r w:rsidRPr="00BA5F1E">
        <w:rPr>
          <w:rFonts w:ascii="Arial" w:hAnsi="Arial" w:cs="Arial" w:hint="cs"/>
          <w:b/>
          <w:bCs/>
          <w:szCs w:val="22"/>
          <w:rtl/>
        </w:rPr>
        <w:t>תכנית מתאר אזורית</w:t>
      </w:r>
      <w:r w:rsidRPr="00BA5F1E">
        <w:rPr>
          <w:rFonts w:ascii="Arial" w:hAnsi="Arial" w:cs="Arial"/>
          <w:b/>
          <w:bCs/>
          <w:szCs w:val="22"/>
        </w:rPr>
        <w:t xml:space="preserve"> </w:t>
      </w:r>
      <w:r w:rsidRPr="00BA5F1E">
        <w:rPr>
          <w:rFonts w:ascii="Arial" w:hAnsi="Arial" w:cs="Arial" w:hint="cs"/>
          <w:b/>
          <w:bCs/>
          <w:sz w:val="22"/>
          <w:szCs w:val="22"/>
          <w:rtl/>
        </w:rPr>
        <w:t>(חלקית)</w:t>
      </w:r>
      <w:r w:rsidRPr="00BA5F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5F1E">
        <w:rPr>
          <w:rFonts w:ascii="Arial" w:hAnsi="Arial" w:cs="Arial" w:hint="cs"/>
          <w:b/>
          <w:bCs/>
          <w:sz w:val="22"/>
          <w:szCs w:val="22"/>
          <w:rtl/>
        </w:rPr>
        <w:t>ל</w:t>
      </w:r>
      <w:bookmarkStart w:id="2" w:name="bkM_pl_number"/>
      <w:bookmarkEnd w:id="2"/>
      <w:r w:rsidR="00E64AFF" w:rsidRPr="00BA5F1E">
        <w:rPr>
          <w:rFonts w:ascii="Arial" w:hAnsi="Arial" w:cs="Arial" w:hint="cs"/>
          <w:b/>
          <w:bCs/>
          <w:sz w:val="22"/>
          <w:szCs w:val="22"/>
          <w:rtl/>
        </w:rPr>
        <w:t>ה</w:t>
      </w:r>
      <w:r w:rsidR="00AE33BD" w:rsidRPr="00BA5F1E">
        <w:rPr>
          <w:rFonts w:ascii="Arial" w:hAnsi="Arial" w:cs="Arial" w:hint="cs"/>
          <w:b/>
          <w:bCs/>
          <w:sz w:val="22"/>
          <w:szCs w:val="22"/>
          <w:rtl/>
        </w:rPr>
        <w:t>קמת מתקני מערכת התרעה מפני רעידות אדמה</w:t>
      </w:r>
      <w:r w:rsidR="00E64AFF" w:rsidRPr="00BA5F1E">
        <w:rPr>
          <w:rFonts w:ascii="Arial" w:hAnsi="Arial" w:cs="Arial" w:hint="cs"/>
          <w:b/>
          <w:bCs/>
          <w:sz w:val="22"/>
          <w:szCs w:val="22"/>
          <w:rtl/>
        </w:rPr>
        <w:t xml:space="preserve"> - </w:t>
      </w:r>
      <w:r w:rsidR="00AE33BD" w:rsidRPr="00BA5F1E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="00E64AFF" w:rsidRPr="00BA5F1E">
        <w:rPr>
          <w:rFonts w:ascii="Arial" w:hAnsi="Arial" w:cs="Arial" w:hint="cs"/>
          <w:b/>
          <w:bCs/>
          <w:sz w:val="22"/>
          <w:szCs w:val="22"/>
          <w:rtl/>
        </w:rPr>
        <w:t xml:space="preserve">תמ"א </w:t>
      </w:r>
      <w:r w:rsidR="00AE33BD" w:rsidRPr="00BA5F1E">
        <w:rPr>
          <w:rFonts w:ascii="Arial" w:hAnsi="Arial" w:cs="Arial" w:hint="cs"/>
          <w:b/>
          <w:bCs/>
          <w:sz w:val="22"/>
          <w:szCs w:val="22"/>
          <w:rtl/>
        </w:rPr>
        <w:t>72</w:t>
      </w:r>
      <w:r w:rsidR="00E64AFF" w:rsidRPr="00BA5F1E">
        <w:rPr>
          <w:rFonts w:ascii="Arial" w:hAnsi="Arial" w:cs="Arial" w:hint="cs"/>
          <w:b/>
          <w:bCs/>
          <w:sz w:val="22"/>
          <w:szCs w:val="22"/>
          <w:rtl/>
        </w:rPr>
        <w:t>/1</w:t>
      </w:r>
    </w:p>
    <w:tbl>
      <w:tblPr>
        <w:bidiVisual/>
        <w:tblW w:w="4947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6"/>
        <w:gridCol w:w="9763"/>
      </w:tblGrid>
      <w:tr w:rsidR="00616630" w:rsidRPr="00BA5F1E" w:rsidTr="00DF40E7">
        <w:tc>
          <w:tcPr>
            <w:tcW w:w="236" w:type="dxa"/>
          </w:tcPr>
          <w:p w:rsidR="00616630" w:rsidRPr="00BA5F1E" w:rsidRDefault="00616630" w:rsidP="0040603C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9763" w:type="dxa"/>
          </w:tcPr>
          <w:p w:rsidR="00616630" w:rsidRPr="00BA5F1E" w:rsidRDefault="00616630" w:rsidP="0040603C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</w:tr>
      <w:tr w:rsidR="00616630" w:rsidRPr="00BA5F1E" w:rsidTr="00DF40E7">
        <w:trPr>
          <w:trHeight w:val="80"/>
        </w:trPr>
        <w:tc>
          <w:tcPr>
            <w:tcW w:w="236" w:type="dxa"/>
          </w:tcPr>
          <w:p w:rsidR="00616630" w:rsidRPr="00BA5F1E" w:rsidRDefault="00616630" w:rsidP="0040603C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9763" w:type="dxa"/>
          </w:tcPr>
          <w:p w:rsidR="00616630" w:rsidRPr="00BA5F1E" w:rsidRDefault="00616630" w:rsidP="00616630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</w:tr>
    </w:tbl>
    <w:p w:rsidR="00616630" w:rsidRPr="00BA5F1E" w:rsidRDefault="00616630" w:rsidP="00BA5F1E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Start w:id="4" w:name="bkM_PlanBorder"/>
      <w:bookmarkStart w:id="5" w:name="bkM_pl_place"/>
      <w:bookmarkStart w:id="6" w:name="bkM_Ktovot"/>
      <w:bookmarkEnd w:id="3"/>
      <w:bookmarkEnd w:id="4"/>
      <w:bookmarkEnd w:id="5"/>
      <w:bookmarkEnd w:id="6"/>
      <w:r w:rsidRPr="00BA5F1E">
        <w:rPr>
          <w:rFonts w:ascii="Arial" w:hAnsi="Arial" w:cs="Arial"/>
          <w:sz w:val="22"/>
          <w:szCs w:val="22"/>
          <w:rtl/>
        </w:rPr>
        <w:t>בהתאם לסעיף 1</w:t>
      </w:r>
      <w:r w:rsidR="00D615B8" w:rsidRPr="00BA5F1E">
        <w:rPr>
          <w:rFonts w:ascii="Arial" w:hAnsi="Arial" w:cs="Arial"/>
          <w:sz w:val="22"/>
          <w:szCs w:val="22"/>
          <w:rtl/>
        </w:rPr>
        <w:t>8</w:t>
      </w:r>
      <w:r w:rsidRPr="00BA5F1E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בזאת מועצת התכנון העליונה לאזור יהודה ושומרון על </w:t>
      </w:r>
      <w:r w:rsidR="00D615B8" w:rsidRPr="00BA5F1E">
        <w:rPr>
          <w:rFonts w:ascii="Arial" w:hAnsi="Arial" w:cs="Arial"/>
          <w:sz w:val="22"/>
          <w:szCs w:val="22"/>
          <w:rtl/>
        </w:rPr>
        <w:t>מתן תוקף</w:t>
      </w:r>
      <w:r w:rsidRPr="00BA5F1E">
        <w:rPr>
          <w:rFonts w:ascii="Arial" w:hAnsi="Arial" w:cs="Arial"/>
          <w:sz w:val="22"/>
          <w:szCs w:val="22"/>
          <w:rtl/>
        </w:rPr>
        <w:t xml:space="preserve"> </w:t>
      </w:r>
      <w:r w:rsidR="00D615B8" w:rsidRPr="00BA5F1E">
        <w:rPr>
          <w:rFonts w:ascii="Arial" w:hAnsi="Arial" w:cs="Arial"/>
          <w:sz w:val="22"/>
          <w:szCs w:val="22"/>
          <w:rtl/>
        </w:rPr>
        <w:t>ל</w:t>
      </w:r>
      <w:r w:rsidRPr="00BA5F1E">
        <w:rPr>
          <w:rFonts w:ascii="Arial" w:hAnsi="Arial" w:cs="Arial"/>
          <w:sz w:val="22"/>
          <w:szCs w:val="22"/>
          <w:rtl/>
        </w:rPr>
        <w:t>תכנית מתאר אזורית (חלקית) ל</w:t>
      </w:r>
      <w:r w:rsidR="000117B0" w:rsidRPr="00BA5F1E">
        <w:rPr>
          <w:rFonts w:ascii="Arial" w:hAnsi="Arial" w:cs="Arial"/>
          <w:sz w:val="22"/>
          <w:szCs w:val="22"/>
          <w:rtl/>
        </w:rPr>
        <w:t>הקמת מתקני מערכת התרעה מפני רעידות אדמה</w:t>
      </w:r>
      <w:r w:rsidR="00B87BE0" w:rsidRPr="00BA5F1E">
        <w:rPr>
          <w:rFonts w:ascii="Arial" w:hAnsi="Arial" w:cs="Arial"/>
          <w:sz w:val="22"/>
          <w:szCs w:val="22"/>
          <w:rtl/>
        </w:rPr>
        <w:t xml:space="preserve"> - תמ"א </w:t>
      </w:r>
      <w:r w:rsidR="000117B0" w:rsidRPr="00BA5F1E">
        <w:rPr>
          <w:rFonts w:ascii="Arial" w:hAnsi="Arial" w:cs="Arial"/>
          <w:sz w:val="22"/>
          <w:szCs w:val="22"/>
          <w:rtl/>
        </w:rPr>
        <w:t>72</w:t>
      </w:r>
      <w:r w:rsidR="00B87BE0" w:rsidRPr="00BA5F1E">
        <w:rPr>
          <w:rFonts w:ascii="Arial" w:hAnsi="Arial" w:cs="Arial"/>
          <w:sz w:val="22"/>
          <w:szCs w:val="22"/>
          <w:rtl/>
        </w:rPr>
        <w:t>/1</w:t>
      </w:r>
      <w:r w:rsidRPr="00BA5F1E">
        <w:rPr>
          <w:rFonts w:ascii="Arial" w:hAnsi="Arial" w:cs="Arial"/>
          <w:sz w:val="22"/>
          <w:szCs w:val="22"/>
          <w:rtl/>
        </w:rPr>
        <w:t xml:space="preserve">.  </w:t>
      </w:r>
    </w:p>
    <w:p w:rsidR="00616630" w:rsidRPr="00BA5F1E" w:rsidRDefault="00616630" w:rsidP="00616630">
      <w:pPr>
        <w:ind w:left="29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616630" w:rsidRPr="00BA5F1E" w:rsidRDefault="00616630" w:rsidP="00616630">
      <w:pPr>
        <w:ind w:left="29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A5F1E">
        <w:rPr>
          <w:rFonts w:ascii="Arial" w:hAnsi="Arial" w:cs="Arial"/>
          <w:b/>
          <w:bCs/>
          <w:sz w:val="22"/>
          <w:szCs w:val="22"/>
          <w:u w:val="single"/>
          <w:rtl/>
        </w:rPr>
        <w:t>תחום התכנית:</w:t>
      </w:r>
    </w:p>
    <w:p w:rsidR="00616630" w:rsidRPr="00BA5F1E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BA5F1E">
        <w:rPr>
          <w:rFonts w:ascii="Arial" w:hAnsi="Arial" w:cs="Arial"/>
          <w:sz w:val="22"/>
          <w:szCs w:val="22"/>
          <w:rtl/>
        </w:rPr>
        <w:t xml:space="preserve">כל שטח אזור יהודה ושומרון (שטחי </w:t>
      </w:r>
      <w:r w:rsidRPr="00BA5F1E">
        <w:rPr>
          <w:rFonts w:ascii="Arial" w:hAnsi="Arial" w:cs="Arial"/>
          <w:sz w:val="22"/>
          <w:szCs w:val="22"/>
        </w:rPr>
        <w:t>C</w:t>
      </w:r>
      <w:r w:rsidRPr="00BA5F1E">
        <w:rPr>
          <w:rFonts w:ascii="Arial" w:hAnsi="Arial" w:cs="Arial"/>
          <w:sz w:val="22"/>
          <w:szCs w:val="22"/>
          <w:rtl/>
        </w:rPr>
        <w:t>).</w:t>
      </w:r>
    </w:p>
    <w:p w:rsidR="00616630" w:rsidRPr="00BA5F1E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Pr="00BA5F1E" w:rsidRDefault="00616630" w:rsidP="00616630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A5F1E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EA08CA" w:rsidRPr="00BA5F1E" w:rsidRDefault="00EA08CA" w:rsidP="00EA08CA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ascii="Arial" w:hAnsi="Arial" w:cs="Arial"/>
          <w:sz w:val="22"/>
          <w:szCs w:val="22"/>
          <w:rtl/>
        </w:rPr>
      </w:pPr>
      <w:bookmarkStart w:id="7" w:name="bkM_pl_goals"/>
      <w:bookmarkEnd w:id="7"/>
      <w:r w:rsidRPr="00BA5F1E">
        <w:rPr>
          <w:rFonts w:ascii="Arial" w:hAnsi="Arial" w:cs="Arial"/>
          <w:sz w:val="22"/>
          <w:szCs w:val="22"/>
          <w:rtl/>
        </w:rPr>
        <w:t>קביעת הוראות להקמתם של מתקני מערכת התרעה מפני רעידות אדמה בפריסה אזורית, ולהוצאת היתרי בנייה מכוחה של תמ"א 72/1 עבור מתקנים אלה.</w:t>
      </w:r>
    </w:p>
    <w:p w:rsidR="00963775" w:rsidRPr="00BA5F1E" w:rsidRDefault="00C74354" w:rsidP="00EA08CA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ascii="Arial" w:hAnsi="Arial" w:cs="Arial"/>
          <w:sz w:val="22"/>
          <w:szCs w:val="22"/>
        </w:rPr>
      </w:pPr>
      <w:r w:rsidRPr="00BA5F1E">
        <w:rPr>
          <w:rFonts w:ascii="Arial" w:hAnsi="Arial" w:cs="Arial"/>
          <w:sz w:val="22"/>
          <w:szCs w:val="22"/>
          <w:rtl/>
        </w:rPr>
        <w:t xml:space="preserve">כל </w:t>
      </w:r>
      <w:r w:rsidR="008B6C1E" w:rsidRPr="00BA5F1E">
        <w:rPr>
          <w:rFonts w:ascii="Arial" w:hAnsi="Arial" w:cs="Arial"/>
          <w:sz w:val="22"/>
          <w:szCs w:val="22"/>
          <w:rtl/>
        </w:rPr>
        <w:t>זאת באמצעות</w:t>
      </w:r>
      <w:r w:rsidR="00963775" w:rsidRPr="00BA5F1E">
        <w:rPr>
          <w:rFonts w:ascii="Arial" w:hAnsi="Arial" w:cs="Arial"/>
          <w:sz w:val="22"/>
          <w:szCs w:val="22"/>
          <w:rtl/>
        </w:rPr>
        <w:t xml:space="preserve"> </w:t>
      </w:r>
      <w:r w:rsidR="008B6C1E" w:rsidRPr="00BA5F1E">
        <w:rPr>
          <w:rFonts w:ascii="Arial" w:hAnsi="Arial" w:cs="Arial"/>
          <w:sz w:val="22"/>
          <w:szCs w:val="22"/>
          <w:rtl/>
        </w:rPr>
        <w:t>קבי</w:t>
      </w:r>
      <w:r w:rsidR="00963775" w:rsidRPr="00BA5F1E">
        <w:rPr>
          <w:rFonts w:ascii="Arial" w:hAnsi="Arial" w:cs="Arial"/>
          <w:sz w:val="22"/>
          <w:szCs w:val="22"/>
          <w:rtl/>
        </w:rPr>
        <w:t xml:space="preserve">עת ייעודי קרקע, </w:t>
      </w:r>
      <w:r w:rsidR="00EA08CA" w:rsidRPr="00BA5F1E">
        <w:rPr>
          <w:rFonts w:ascii="Arial" w:hAnsi="Arial" w:cs="Arial"/>
          <w:sz w:val="22"/>
          <w:szCs w:val="22"/>
          <w:rtl/>
        </w:rPr>
        <w:t>הוראות</w:t>
      </w:r>
      <w:r w:rsidR="00963775" w:rsidRPr="00BA5F1E">
        <w:rPr>
          <w:rFonts w:ascii="Arial" w:hAnsi="Arial" w:cs="Arial"/>
          <w:sz w:val="22"/>
          <w:szCs w:val="22"/>
          <w:rtl/>
        </w:rPr>
        <w:t xml:space="preserve"> בניה, אופן פרסום והוראות נוספות למתן היתרי</w:t>
      </w:r>
      <w:r w:rsidR="00512CAE" w:rsidRPr="00BA5F1E">
        <w:rPr>
          <w:rFonts w:ascii="Arial" w:hAnsi="Arial" w:cs="Arial"/>
          <w:sz w:val="22"/>
          <w:szCs w:val="22"/>
          <w:rtl/>
        </w:rPr>
        <w:t xml:space="preserve"> בניה</w:t>
      </w:r>
      <w:r w:rsidR="00963775" w:rsidRPr="00BA5F1E">
        <w:rPr>
          <w:rFonts w:ascii="Arial" w:hAnsi="Arial" w:cs="Arial"/>
          <w:sz w:val="22"/>
          <w:szCs w:val="22"/>
          <w:rtl/>
        </w:rPr>
        <w:t xml:space="preserve"> למתקנ</w:t>
      </w:r>
      <w:r w:rsidR="00EA08CA" w:rsidRPr="00BA5F1E">
        <w:rPr>
          <w:rFonts w:ascii="Arial" w:hAnsi="Arial" w:cs="Arial"/>
          <w:sz w:val="22"/>
          <w:szCs w:val="22"/>
          <w:rtl/>
        </w:rPr>
        <w:t>י</w:t>
      </w:r>
      <w:r w:rsidR="00963775" w:rsidRPr="00BA5F1E">
        <w:rPr>
          <w:rFonts w:ascii="Arial" w:hAnsi="Arial" w:cs="Arial"/>
          <w:sz w:val="22"/>
          <w:szCs w:val="22"/>
          <w:rtl/>
        </w:rPr>
        <w:t xml:space="preserve"> מערכת </w:t>
      </w:r>
      <w:r w:rsidR="00EA08CA" w:rsidRPr="00BA5F1E">
        <w:rPr>
          <w:rFonts w:ascii="Arial" w:hAnsi="Arial" w:cs="Arial"/>
          <w:sz w:val="22"/>
          <w:szCs w:val="22"/>
          <w:rtl/>
        </w:rPr>
        <w:t>התרעה מפני רעידות אדמה</w:t>
      </w:r>
      <w:r w:rsidR="00963775" w:rsidRPr="00BA5F1E">
        <w:rPr>
          <w:rFonts w:ascii="Arial" w:hAnsi="Arial" w:cs="Arial"/>
          <w:sz w:val="22"/>
          <w:szCs w:val="22"/>
          <w:rtl/>
        </w:rPr>
        <w:t>.</w:t>
      </w:r>
    </w:p>
    <w:p w:rsidR="00616630" w:rsidRPr="00BA5F1E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92BAE" w:rsidRPr="00BA5F1E" w:rsidRDefault="00292BAE" w:rsidP="00292BAE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8" w:name="_GoBack"/>
      <w:bookmarkEnd w:id="8"/>
      <w:r w:rsidRPr="00BA5F1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בעיתון.</w:t>
      </w:r>
    </w:p>
    <w:p w:rsidR="005B798F" w:rsidRPr="00BA5F1E" w:rsidRDefault="005B798F" w:rsidP="00292BAE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92BAE" w:rsidRPr="00BA5F1E" w:rsidRDefault="00292BAE" w:rsidP="00292BA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BA5F1E">
        <w:rPr>
          <w:rFonts w:ascii="Arial" w:hAnsi="Arial" w:cs="Arial"/>
          <w:sz w:val="22"/>
          <w:szCs w:val="22"/>
          <w:rtl/>
        </w:rPr>
        <w:t>התכנית נמצאת במשרדי לשכת התכנון המרכזית לאזור יהודה ושומרון בבית-אל ו/או במשרדי לשכות התכנון הנפתיות בנפות</w:t>
      </w:r>
      <w:r w:rsidRPr="00BA5F1E">
        <w:rPr>
          <w:rFonts w:ascii="Arial" w:hAnsi="Arial" w:cs="Arial"/>
          <w:sz w:val="22"/>
          <w:szCs w:val="22"/>
        </w:rPr>
        <w:t>:</w:t>
      </w:r>
      <w:r w:rsidRPr="00BA5F1E">
        <w:rPr>
          <w:rFonts w:ascii="Arial" w:hAnsi="Arial" w:cs="Arial"/>
          <w:sz w:val="22"/>
          <w:szCs w:val="22"/>
          <w:rtl/>
        </w:rPr>
        <w:t xml:space="preserve"> ג'נין, טול-כרם, שכם, רמאללה, בית-לחם וחברון ו/או במפקדות התיאום והקישור בנפות: יריחו (הבקעה), עוטף ירושלים וקלקיליה (אפרים) ו/או במשרדי הוועדות</w:t>
      </w:r>
      <w:r w:rsidRPr="00BA5F1E">
        <w:rPr>
          <w:rFonts w:ascii="Arial" w:hAnsi="Arial" w:cs="Arial"/>
          <w:sz w:val="22"/>
          <w:szCs w:val="22"/>
        </w:rPr>
        <w:t xml:space="preserve"> </w:t>
      </w:r>
      <w:r w:rsidRPr="00BA5F1E">
        <w:rPr>
          <w:rFonts w:ascii="Arial" w:hAnsi="Arial" w:cs="Arial"/>
          <w:sz w:val="22"/>
          <w:szCs w:val="22"/>
          <w:rtl/>
        </w:rPr>
        <w:t>המיוחדות לתכנון ולבניה, ויכול כל אחד לעיין בה ללא תשלום בימים ובשעות שהמשרדים האמורים פתוחים לקהל.</w:t>
      </w:r>
    </w:p>
    <w:p w:rsidR="006A012C" w:rsidRPr="00BA5F1E" w:rsidRDefault="006A012C" w:rsidP="00292BAE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3E7270" w:rsidRPr="00BA5F1E" w:rsidRDefault="00292BAE" w:rsidP="007421CB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BA5F1E">
        <w:rPr>
          <w:rFonts w:ascii="Arial" w:hAnsi="Arial" w:cs="Arial"/>
          <w:sz w:val="22"/>
          <w:szCs w:val="22"/>
          <w:rtl/>
        </w:rPr>
        <w:t>כמו כן, יפורסם עותק מן התכנית גם באתר האינטרנט של מנהל התכנון בישראל (</w:t>
      </w:r>
      <w:hyperlink r:id="rId5" w:history="1">
        <w:r w:rsidRPr="00BA5F1E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 w:rsidRPr="00BA5F1E">
        <w:rPr>
          <w:rFonts w:ascii="Arial" w:hAnsi="Arial" w:cs="Arial"/>
          <w:sz w:val="22"/>
          <w:szCs w:val="22"/>
          <w:rtl/>
        </w:rPr>
        <w:t>)</w:t>
      </w:r>
      <w:r w:rsidR="007421CB" w:rsidRPr="00BA5F1E">
        <w:rPr>
          <w:rFonts w:ascii="Arial" w:hAnsi="Arial" w:cs="Arial"/>
          <w:sz w:val="22"/>
          <w:szCs w:val="22"/>
          <w:rtl/>
        </w:rPr>
        <w:t>.</w:t>
      </w:r>
      <w:r w:rsidRPr="00BA5F1E">
        <w:rPr>
          <w:rFonts w:ascii="Arial" w:hAnsi="Arial" w:cs="Arial"/>
          <w:sz w:val="22"/>
          <w:szCs w:val="22"/>
          <w:rtl/>
        </w:rPr>
        <w:t xml:space="preserve"> </w:t>
      </w:r>
    </w:p>
    <w:p w:rsidR="00616630" w:rsidRPr="00BA5F1E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EA08CA" w:rsidRPr="00BA5F1E" w:rsidRDefault="00EA08CA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616630" w:rsidRPr="00BA5F1E" w:rsidRDefault="00616630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BA5F1E">
        <w:rPr>
          <w:rFonts w:ascii="Arial" w:hAnsi="Arial" w:cs="Arial" w:hint="cs"/>
          <w:b/>
          <w:bCs/>
          <w:sz w:val="24"/>
          <w:szCs w:val="24"/>
          <w:rtl/>
        </w:rPr>
        <w:t xml:space="preserve">אדריכלית נטליה </w:t>
      </w:r>
      <w:proofErr w:type="spellStart"/>
      <w:r w:rsidRPr="00BA5F1E">
        <w:rPr>
          <w:rFonts w:ascii="Arial" w:hAnsi="Arial" w:cs="Arial" w:hint="cs"/>
          <w:b/>
          <w:bCs/>
          <w:sz w:val="24"/>
          <w:szCs w:val="24"/>
          <w:rtl/>
        </w:rPr>
        <w:t>אברבוך</w:t>
      </w:r>
      <w:proofErr w:type="spellEnd"/>
    </w:p>
    <w:p w:rsidR="00616630" w:rsidRPr="00BA5F1E" w:rsidRDefault="00616630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BA5F1E">
        <w:rPr>
          <w:rFonts w:ascii="Arial" w:hAnsi="Arial" w:cs="Arial"/>
          <w:b/>
          <w:bCs/>
          <w:sz w:val="24"/>
          <w:szCs w:val="24"/>
          <w:rtl/>
        </w:rPr>
        <w:t xml:space="preserve">יו"ר </w:t>
      </w:r>
      <w:r w:rsidRPr="00BA5F1E">
        <w:rPr>
          <w:rFonts w:ascii="Arial" w:hAnsi="Arial" w:cs="Arial" w:hint="cs"/>
          <w:b/>
          <w:bCs/>
          <w:sz w:val="24"/>
          <w:szCs w:val="24"/>
          <w:rtl/>
        </w:rPr>
        <w:t>מועצת התכנון העליונה</w:t>
      </w:r>
    </w:p>
    <w:p w:rsidR="00616630" w:rsidRPr="00784F48" w:rsidRDefault="00616630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BA5F1E">
        <w:rPr>
          <w:rFonts w:ascii="Arial" w:hAnsi="Arial" w:cs="Arial" w:hint="cs"/>
          <w:b/>
          <w:bCs/>
          <w:sz w:val="24"/>
          <w:szCs w:val="24"/>
          <w:rtl/>
        </w:rPr>
        <w:t xml:space="preserve">אזור </w:t>
      </w:r>
      <w:bookmarkStart w:id="9" w:name="bkM_Mahoz1"/>
      <w:bookmarkEnd w:id="9"/>
      <w:r w:rsidRPr="00BA5F1E">
        <w:rPr>
          <w:rFonts w:ascii="Arial" w:hAnsi="Arial" w:cs="Arial" w:hint="cs"/>
          <w:b/>
          <w:bCs/>
          <w:sz w:val="24"/>
          <w:szCs w:val="24"/>
          <w:rtl/>
        </w:rPr>
        <w:t>יהודה ושומרון</w:t>
      </w: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A65B31" w:rsidRDefault="00A65B31"/>
    <w:sectPr w:rsidR="00A65B31" w:rsidSect="000F4192"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2B27"/>
    <w:multiLevelType w:val="multilevel"/>
    <w:tmpl w:val="BEBCC6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80"/>
        </w:tabs>
        <w:ind w:left="980" w:hanging="510"/>
      </w:pPr>
      <w:rPr>
        <w:rFonts w:cs="David" w:hint="default"/>
        <w:b w:val="0"/>
        <w:bCs w:val="0"/>
        <w:color w:val="000000" w:themeColor="text1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660"/>
        </w:tabs>
        <w:ind w:left="16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600"/>
        </w:tabs>
        <w:ind w:left="2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430"/>
        </w:tabs>
        <w:ind w:left="34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900"/>
        </w:tabs>
        <w:ind w:left="39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730"/>
        </w:tabs>
        <w:ind w:left="47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440"/>
      </w:pPr>
      <w:rPr>
        <w:rFonts w:hint="default"/>
        <w:sz w:val="28"/>
      </w:rPr>
    </w:lvl>
  </w:abstractNum>
  <w:abstractNum w:abstractNumId="1">
    <w:nsid w:val="499C3468"/>
    <w:multiLevelType w:val="hybridMultilevel"/>
    <w:tmpl w:val="BF1E5908"/>
    <w:lvl w:ilvl="0" w:tplc="1EF60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6F74"/>
    <w:multiLevelType w:val="multilevel"/>
    <w:tmpl w:val="B1AE1370"/>
    <w:lvl w:ilvl="0">
      <w:start w:val="1"/>
      <w:numFmt w:val="decimal"/>
      <w:pStyle w:val="a"/>
      <w:lvlText w:val="%1."/>
      <w:lvlJc w:val="center"/>
      <w:pPr>
        <w:tabs>
          <w:tab w:val="num" w:pos="454"/>
        </w:tabs>
        <w:ind w:left="454" w:right="454" w:hanging="454"/>
      </w:pPr>
    </w:lvl>
    <w:lvl w:ilvl="1">
      <w:start w:val="1"/>
      <w:numFmt w:val="decimal"/>
      <w:lvlText w:val="%1.%2."/>
      <w:lvlJc w:val="center"/>
      <w:pPr>
        <w:tabs>
          <w:tab w:val="num" w:pos="1021"/>
        </w:tabs>
        <w:ind w:left="1021" w:right="1021" w:hanging="454"/>
      </w:pPr>
    </w:lvl>
    <w:lvl w:ilvl="2">
      <w:start w:val="1"/>
      <w:numFmt w:val="decimal"/>
      <w:lvlText w:val="%1.%2.%3."/>
      <w:lvlJc w:val="center"/>
      <w:pPr>
        <w:tabs>
          <w:tab w:val="num" w:pos="1701"/>
        </w:tabs>
        <w:ind w:left="1701" w:right="1701" w:hanging="510"/>
      </w:pPr>
    </w:lvl>
    <w:lvl w:ilvl="3">
      <w:start w:val="1"/>
      <w:numFmt w:val="decimal"/>
      <w:lvlText w:val="%1.%2.%3.%4."/>
      <w:lvlJc w:val="center"/>
      <w:pPr>
        <w:tabs>
          <w:tab w:val="num" w:pos="2835"/>
        </w:tabs>
        <w:ind w:left="2835" w:right="2835" w:hanging="850"/>
      </w:pPr>
    </w:lvl>
    <w:lvl w:ilvl="4">
      <w:start w:val="1"/>
      <w:numFmt w:val="decimal"/>
      <w:lvlText w:val="%1.%2.%3.%4.%5."/>
      <w:lvlJc w:val="center"/>
      <w:pPr>
        <w:tabs>
          <w:tab w:val="num" w:pos="3969"/>
        </w:tabs>
        <w:ind w:left="3969" w:right="3969" w:hanging="737"/>
      </w:pPr>
    </w:lvl>
    <w:lvl w:ilvl="5">
      <w:start w:val="1"/>
      <w:numFmt w:val="decimal"/>
      <w:lvlText w:val="%1.%2.%3.%4.%5.%6."/>
      <w:lvlJc w:val="center"/>
      <w:pPr>
        <w:tabs>
          <w:tab w:val="num" w:pos="5670"/>
        </w:tabs>
        <w:ind w:left="5670" w:right="5670" w:hanging="1134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630"/>
    <w:rsid w:val="000117B0"/>
    <w:rsid w:val="00092BBB"/>
    <w:rsid w:val="000C75EF"/>
    <w:rsid w:val="000F4192"/>
    <w:rsid w:val="00177AC6"/>
    <w:rsid w:val="00181DAB"/>
    <w:rsid w:val="001A37EC"/>
    <w:rsid w:val="001E24A4"/>
    <w:rsid w:val="002073F6"/>
    <w:rsid w:val="00292BAE"/>
    <w:rsid w:val="002C2417"/>
    <w:rsid w:val="00316FDA"/>
    <w:rsid w:val="003E7270"/>
    <w:rsid w:val="00491CA3"/>
    <w:rsid w:val="00512CAE"/>
    <w:rsid w:val="00524801"/>
    <w:rsid w:val="00595940"/>
    <w:rsid w:val="005B798F"/>
    <w:rsid w:val="005D1B48"/>
    <w:rsid w:val="00616630"/>
    <w:rsid w:val="006A012C"/>
    <w:rsid w:val="006B5C56"/>
    <w:rsid w:val="007421CB"/>
    <w:rsid w:val="00745CD2"/>
    <w:rsid w:val="00746BE3"/>
    <w:rsid w:val="00784F48"/>
    <w:rsid w:val="00787E8A"/>
    <w:rsid w:val="007D6FF9"/>
    <w:rsid w:val="008033BB"/>
    <w:rsid w:val="008B15D1"/>
    <w:rsid w:val="008B458D"/>
    <w:rsid w:val="008B6C1E"/>
    <w:rsid w:val="00963775"/>
    <w:rsid w:val="009F4346"/>
    <w:rsid w:val="00A65B31"/>
    <w:rsid w:val="00AB206B"/>
    <w:rsid w:val="00AE33BD"/>
    <w:rsid w:val="00AE4C3F"/>
    <w:rsid w:val="00B87BE0"/>
    <w:rsid w:val="00BA5F1E"/>
    <w:rsid w:val="00C74354"/>
    <w:rsid w:val="00CE4A87"/>
    <w:rsid w:val="00D615B8"/>
    <w:rsid w:val="00DA38C1"/>
    <w:rsid w:val="00DF40E7"/>
    <w:rsid w:val="00E64AFF"/>
    <w:rsid w:val="00EA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6630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616630"/>
    <w:rPr>
      <w:rFonts w:ascii="Courier New" w:hAnsi="Courier New" w:cs="Courier New"/>
      <w:sz w:val="20"/>
      <w:szCs w:val="20"/>
      <w:lang w:eastAsia="en-US"/>
    </w:rPr>
  </w:style>
  <w:style w:type="character" w:customStyle="1" w:styleId="a5">
    <w:name w:val="טקסט רגיל תו"/>
    <w:basedOn w:val="a1"/>
    <w:link w:val="a4"/>
    <w:rsid w:val="0061663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0"/>
    <w:semiHidden/>
    <w:rsid w:val="00616630"/>
    <w:rPr>
      <w:rFonts w:eastAsia="Calibri" w:cs="Times New Roman"/>
      <w:szCs w:val="24"/>
      <w:lang w:eastAsia="en-US"/>
    </w:rPr>
  </w:style>
  <w:style w:type="character" w:styleId="Hyperlink">
    <w:name w:val="Hyperlink"/>
    <w:rsid w:val="00616630"/>
    <w:rPr>
      <w:color w:val="0000FF"/>
      <w:u w:val="single"/>
    </w:rPr>
  </w:style>
  <w:style w:type="paragraph" w:customStyle="1" w:styleId="magicstile">
    <w:name w:val="magic_stile"/>
    <w:basedOn w:val="a0"/>
    <w:rsid w:val="00616630"/>
    <w:rPr>
      <w:szCs w:val="24"/>
      <w:lang w:eastAsia="en-US"/>
    </w:rPr>
  </w:style>
  <w:style w:type="paragraph" w:customStyle="1" w:styleId="a">
    <w:name w:val="מלל ממוספר"/>
    <w:basedOn w:val="a0"/>
    <w:rsid w:val="00963775"/>
    <w:pPr>
      <w:numPr>
        <w:numId w:val="2"/>
      </w:numPr>
      <w:spacing w:before="120" w:after="120"/>
      <w:jc w:val="right"/>
      <w:outlineLvl w:val="0"/>
    </w:pPr>
    <w:rPr>
      <w:sz w:val="2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ca021396791</dc:creator>
  <cp:lastModifiedBy>ca021396791</cp:lastModifiedBy>
  <cp:revision>44</cp:revision>
  <dcterms:created xsi:type="dcterms:W3CDTF">2018-04-11T15:43:00Z</dcterms:created>
  <dcterms:modified xsi:type="dcterms:W3CDTF">2019-10-28T12:39:00Z</dcterms:modified>
</cp:coreProperties>
</file>